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EA3AC" w14:textId="23E9088E" w:rsidR="00A51100" w:rsidRPr="00291A32" w:rsidRDefault="00B92B3A">
      <w:pPr>
        <w:rPr>
          <w:b/>
          <w:bCs/>
        </w:rPr>
      </w:pPr>
      <w:r w:rsidRPr="00291A32">
        <w:rPr>
          <w:b/>
          <w:bCs/>
        </w:rPr>
        <w:t xml:space="preserve">Bijeenkomst </w:t>
      </w:r>
      <w:r w:rsidR="003B4E4D">
        <w:rPr>
          <w:b/>
          <w:bCs/>
        </w:rPr>
        <w:t xml:space="preserve">werkgroep </w:t>
      </w:r>
      <w:r w:rsidRPr="00291A32">
        <w:rPr>
          <w:b/>
          <w:bCs/>
        </w:rPr>
        <w:t xml:space="preserve">Verantwoording BVOV, </w:t>
      </w:r>
      <w:r w:rsidR="00A37AF6">
        <w:rPr>
          <w:b/>
          <w:bCs/>
        </w:rPr>
        <w:t>2</w:t>
      </w:r>
      <w:r w:rsidR="003B4E4D">
        <w:rPr>
          <w:b/>
          <w:bCs/>
        </w:rPr>
        <w:t xml:space="preserve"> </w:t>
      </w:r>
      <w:r w:rsidR="00A37AF6">
        <w:rPr>
          <w:b/>
          <w:bCs/>
        </w:rPr>
        <w:t>jun</w:t>
      </w:r>
      <w:r w:rsidR="00407962">
        <w:rPr>
          <w:b/>
          <w:bCs/>
        </w:rPr>
        <w:t>i</w:t>
      </w:r>
      <w:r w:rsidRPr="00291A32">
        <w:rPr>
          <w:b/>
          <w:bCs/>
        </w:rPr>
        <w:t xml:space="preserve"> 202</w:t>
      </w:r>
      <w:r w:rsidR="00EF38FD">
        <w:rPr>
          <w:b/>
          <w:bCs/>
        </w:rPr>
        <w:t>2</w:t>
      </w:r>
    </w:p>
    <w:p w14:paraId="0BA9CA4B" w14:textId="77777777" w:rsidR="00B92B3A" w:rsidRDefault="00B92B3A"/>
    <w:p w14:paraId="0BC24A55" w14:textId="7348A880" w:rsidR="005735FD" w:rsidRDefault="005735FD" w:rsidP="006755A2">
      <w:pPr>
        <w:ind w:left="1701" w:hanging="1701"/>
      </w:pPr>
      <w:r>
        <w:t xml:space="preserve">Deelnemers: </w:t>
      </w:r>
      <w:r w:rsidR="006755A2">
        <w:tab/>
      </w:r>
      <w:r w:rsidR="00EF0B2A">
        <w:t xml:space="preserve">Gé van Toorenburg (IenW), </w:t>
      </w:r>
      <w:proofErr w:type="spellStart"/>
      <w:r w:rsidR="00A37AF6">
        <w:t>Dheeraj</w:t>
      </w:r>
      <w:proofErr w:type="spellEnd"/>
      <w:r w:rsidR="00A37AF6">
        <w:t xml:space="preserve"> </w:t>
      </w:r>
      <w:proofErr w:type="spellStart"/>
      <w:r w:rsidR="00A37AF6" w:rsidRPr="004423D2">
        <w:t>Bachoe</w:t>
      </w:r>
      <w:proofErr w:type="spellEnd"/>
      <w:r w:rsidR="00A37AF6">
        <w:t xml:space="preserve"> (ADR),</w:t>
      </w:r>
      <w:r w:rsidR="00A37AF6" w:rsidRPr="004423D2">
        <w:t xml:space="preserve"> </w:t>
      </w:r>
      <w:proofErr w:type="spellStart"/>
      <w:r w:rsidR="00EF0B2A" w:rsidRPr="00262F75">
        <w:t>Domingos</w:t>
      </w:r>
      <w:proofErr w:type="spellEnd"/>
      <w:r w:rsidR="00EF0B2A" w:rsidRPr="00262F75">
        <w:t xml:space="preserve"> </w:t>
      </w:r>
      <w:proofErr w:type="spellStart"/>
      <w:r w:rsidR="00EF0B2A" w:rsidRPr="00262F75">
        <w:t>Texeira</w:t>
      </w:r>
      <w:proofErr w:type="spellEnd"/>
      <w:r w:rsidR="00EF0B2A" w:rsidRPr="00262F75">
        <w:t xml:space="preserve"> </w:t>
      </w:r>
      <w:proofErr w:type="spellStart"/>
      <w:r w:rsidR="00EF0B2A" w:rsidRPr="00262F75">
        <w:t>Horta</w:t>
      </w:r>
      <w:proofErr w:type="spellEnd"/>
      <w:r w:rsidR="00EF0B2A" w:rsidRPr="00262F75">
        <w:t xml:space="preserve"> (RET</w:t>
      </w:r>
      <w:r w:rsidR="00EF0B2A">
        <w:t xml:space="preserve">), </w:t>
      </w:r>
      <w:r w:rsidR="002D540C">
        <w:t>Brigitte van Beers (VRA</w:t>
      </w:r>
      <w:r w:rsidR="00A37AF6">
        <w:t>), Frank Kuiper(</w:t>
      </w:r>
      <w:r w:rsidR="002D540C">
        <w:t>MRDH</w:t>
      </w:r>
      <w:r w:rsidR="00A37AF6">
        <w:t xml:space="preserve">) </w:t>
      </w:r>
      <w:r w:rsidR="00CD0281">
        <w:t>en</w:t>
      </w:r>
      <w:r w:rsidR="006755A2">
        <w:t xml:space="preserve"> Rob Rijnhout (Hypercube, IenW)</w:t>
      </w:r>
      <w:r w:rsidR="00CD0281">
        <w:t>.</w:t>
      </w:r>
    </w:p>
    <w:p w14:paraId="727839C9" w14:textId="0729AA2C" w:rsidR="00B624EF" w:rsidRPr="00262F75" w:rsidRDefault="00B92B3A" w:rsidP="006A5CE5">
      <w:pPr>
        <w:ind w:left="2977" w:hanging="2977"/>
      </w:pPr>
      <w:r>
        <w:t>Berichten van verhindering:</w:t>
      </w:r>
      <w:r w:rsidR="00B624EF">
        <w:t xml:space="preserve"> </w:t>
      </w:r>
      <w:r w:rsidR="006755A2">
        <w:tab/>
      </w:r>
      <w:r w:rsidR="00EF0B2A" w:rsidRPr="002C4450">
        <w:t>Loek Dieteren (Limburg)</w:t>
      </w:r>
      <w:r w:rsidR="00A37AF6" w:rsidRPr="00262F75">
        <w:t>, Gijsbert</w:t>
      </w:r>
      <w:r w:rsidR="00A37AF6">
        <w:t xml:space="preserve"> van Dam (KPMG, IenW)</w:t>
      </w:r>
      <w:r w:rsidR="00724DC9">
        <w:t xml:space="preserve">, Folkert Ensink, Mathijs </w:t>
      </w:r>
      <w:proofErr w:type="spellStart"/>
      <w:r w:rsidR="00724DC9">
        <w:t>Bekhuis</w:t>
      </w:r>
      <w:proofErr w:type="spellEnd"/>
      <w:r w:rsidR="002D540C">
        <w:t>.</w:t>
      </w:r>
    </w:p>
    <w:p w14:paraId="62937837" w14:textId="4D6614F9" w:rsidR="00DC0C78" w:rsidRPr="00EF38FD" w:rsidRDefault="00DC0C78" w:rsidP="00EF38FD">
      <w:pPr>
        <w:rPr>
          <w:rFonts w:ascii="Calibri" w:eastAsia="Times New Roman" w:hAnsi="Calibri" w:cs="Calibri"/>
          <w:color w:val="000000"/>
          <w:szCs w:val="22"/>
          <w:lang w:eastAsia="nl-NL"/>
        </w:rPr>
      </w:pPr>
    </w:p>
    <w:p w14:paraId="16A55347" w14:textId="07EF6D25" w:rsidR="00BD440B" w:rsidRDefault="00EF38FD" w:rsidP="00BD440B">
      <w:pPr>
        <w:spacing w:after="240"/>
        <w:rPr>
          <w:rFonts w:ascii="Calibri" w:eastAsia="Times New Roman" w:hAnsi="Calibri" w:cs="Calibri"/>
          <w:color w:val="000000"/>
          <w:szCs w:val="22"/>
          <w:lang w:eastAsia="nl-NL"/>
        </w:rPr>
      </w:pPr>
      <w:r w:rsidRPr="00DC0C78">
        <w:rPr>
          <w:rFonts w:ascii="Calibri" w:eastAsia="Times New Roman" w:hAnsi="Calibri" w:cs="Calibri"/>
          <w:i/>
          <w:iCs/>
          <w:color w:val="000000"/>
          <w:szCs w:val="22"/>
          <w:lang w:eastAsia="nl-NL"/>
        </w:rPr>
        <w:t>Opening, mededelingen</w:t>
      </w:r>
      <w:r w:rsidR="004423D2">
        <w:rPr>
          <w:rFonts w:ascii="Calibri" w:eastAsia="Times New Roman" w:hAnsi="Calibri" w:cs="Calibri"/>
          <w:i/>
          <w:iCs/>
          <w:color w:val="000000"/>
          <w:szCs w:val="22"/>
          <w:lang w:eastAsia="nl-NL"/>
        </w:rPr>
        <w:br/>
      </w:r>
      <w:r w:rsidR="00724DC9">
        <w:rPr>
          <w:rFonts w:ascii="Calibri" w:eastAsia="Times New Roman" w:hAnsi="Calibri" w:cs="Calibri"/>
          <w:color w:val="000000"/>
          <w:szCs w:val="22"/>
          <w:lang w:eastAsia="nl-NL"/>
        </w:rPr>
        <w:t xml:space="preserve">Mathijs, Folkert, </w:t>
      </w:r>
      <w:r w:rsidR="00BD440B">
        <w:rPr>
          <w:rFonts w:ascii="Calibri" w:eastAsia="Times New Roman" w:hAnsi="Calibri" w:cs="Calibri"/>
          <w:color w:val="000000"/>
          <w:szCs w:val="22"/>
          <w:lang w:eastAsia="nl-NL"/>
        </w:rPr>
        <w:t xml:space="preserve">Loek en </w:t>
      </w:r>
      <w:r w:rsidR="000D1B1A">
        <w:rPr>
          <w:rFonts w:ascii="Calibri" w:eastAsia="Times New Roman" w:hAnsi="Calibri" w:cs="Calibri"/>
          <w:color w:val="000000"/>
          <w:szCs w:val="22"/>
          <w:lang w:eastAsia="nl-NL"/>
        </w:rPr>
        <w:t>Gijsbert</w:t>
      </w:r>
      <w:r w:rsidR="00BD440B">
        <w:rPr>
          <w:rFonts w:ascii="Calibri" w:eastAsia="Times New Roman" w:hAnsi="Calibri" w:cs="Calibri"/>
          <w:color w:val="000000"/>
          <w:szCs w:val="22"/>
          <w:lang w:eastAsia="nl-NL"/>
        </w:rPr>
        <w:t xml:space="preserve"> hebben zich verontschuldigd voor deze bijeenkomst</w:t>
      </w:r>
      <w:r w:rsidR="001770A4">
        <w:rPr>
          <w:rFonts w:ascii="Calibri" w:eastAsia="Times New Roman" w:hAnsi="Calibri" w:cs="Calibri"/>
          <w:color w:val="000000"/>
          <w:szCs w:val="22"/>
          <w:lang w:eastAsia="nl-NL"/>
        </w:rPr>
        <w:t xml:space="preserve">. </w:t>
      </w:r>
    </w:p>
    <w:p w14:paraId="073ADE37" w14:textId="242873D2" w:rsidR="00AD1258" w:rsidRPr="000D45EE" w:rsidRDefault="00AD1258" w:rsidP="00BD440B">
      <w:pPr>
        <w:spacing w:after="240"/>
        <w:rPr>
          <w:rFonts w:ascii="Calibri" w:eastAsia="Times New Roman" w:hAnsi="Calibri" w:cs="Calibri"/>
          <w:color w:val="000000"/>
          <w:szCs w:val="22"/>
          <w:lang w:eastAsia="nl-NL"/>
        </w:rPr>
      </w:pPr>
      <w:r>
        <w:rPr>
          <w:rFonts w:ascii="Calibri" w:eastAsia="Times New Roman" w:hAnsi="Calibri" w:cs="Calibri"/>
          <w:color w:val="000000"/>
          <w:szCs w:val="22"/>
          <w:lang w:eastAsia="nl-NL"/>
        </w:rPr>
        <w:t>De werkgroep heet Frank Kuiper (MRDH) van harte welkom.</w:t>
      </w:r>
    </w:p>
    <w:p w14:paraId="589749FF" w14:textId="7E8C551F" w:rsidR="00703609" w:rsidRDefault="00A37AF6" w:rsidP="007418C4">
      <w:pPr>
        <w:spacing w:after="240"/>
        <w:rPr>
          <w:rFonts w:ascii="Calibri" w:eastAsia="Times New Roman" w:hAnsi="Calibri" w:cs="Calibri"/>
          <w:color w:val="000000"/>
          <w:szCs w:val="22"/>
          <w:lang w:eastAsia="nl-NL"/>
        </w:rPr>
      </w:pPr>
      <w:r>
        <w:rPr>
          <w:rFonts w:ascii="Calibri" w:eastAsia="Times New Roman" w:hAnsi="Calibri" w:cs="Calibri"/>
          <w:color w:val="000000"/>
          <w:szCs w:val="22"/>
          <w:lang w:eastAsia="nl-NL"/>
        </w:rPr>
        <w:t xml:space="preserve">Behalve </w:t>
      </w:r>
      <w:r w:rsidR="00AD1258">
        <w:rPr>
          <w:rFonts w:ascii="Calibri" w:eastAsia="Times New Roman" w:hAnsi="Calibri" w:cs="Calibri"/>
          <w:color w:val="000000"/>
          <w:szCs w:val="22"/>
          <w:lang w:eastAsia="nl-NL"/>
        </w:rPr>
        <w:t>dat een 2 weggevallen was in de naam van het controleprotocol bvov 2021 voor NS, zijn e</w:t>
      </w:r>
      <w:r w:rsidR="000D1B1A">
        <w:rPr>
          <w:rFonts w:ascii="Calibri" w:eastAsia="Times New Roman" w:hAnsi="Calibri" w:cs="Calibri"/>
          <w:color w:val="000000"/>
          <w:szCs w:val="22"/>
          <w:lang w:eastAsia="nl-NL"/>
        </w:rPr>
        <w:t>r geen opmerkingen bij het</w:t>
      </w:r>
      <w:r w:rsidR="00BD440B">
        <w:rPr>
          <w:rFonts w:ascii="Calibri" w:eastAsia="Times New Roman" w:hAnsi="Calibri" w:cs="Calibri"/>
          <w:color w:val="000000"/>
          <w:szCs w:val="22"/>
          <w:lang w:eastAsia="nl-NL"/>
        </w:rPr>
        <w:t xml:space="preserve"> verslag van </w:t>
      </w:r>
      <w:r w:rsidR="000D1B1A">
        <w:rPr>
          <w:rFonts w:ascii="Calibri" w:eastAsia="Times New Roman" w:hAnsi="Calibri" w:cs="Calibri"/>
          <w:color w:val="000000"/>
          <w:szCs w:val="22"/>
          <w:lang w:eastAsia="nl-NL"/>
        </w:rPr>
        <w:t>19</w:t>
      </w:r>
      <w:r w:rsidR="00BD440B">
        <w:rPr>
          <w:rFonts w:ascii="Calibri" w:eastAsia="Times New Roman" w:hAnsi="Calibri" w:cs="Calibri"/>
          <w:color w:val="000000"/>
          <w:szCs w:val="22"/>
          <w:lang w:eastAsia="nl-NL"/>
        </w:rPr>
        <w:t xml:space="preserve"> mei</w:t>
      </w:r>
      <w:r w:rsidR="000D1B1A">
        <w:rPr>
          <w:rFonts w:ascii="Calibri" w:eastAsia="Times New Roman" w:hAnsi="Calibri" w:cs="Calibri"/>
          <w:color w:val="000000"/>
          <w:szCs w:val="22"/>
          <w:lang w:eastAsia="nl-NL"/>
        </w:rPr>
        <w:t xml:space="preserve"> waarmee dat is</w:t>
      </w:r>
      <w:r w:rsidR="00BD440B">
        <w:rPr>
          <w:rFonts w:ascii="Calibri" w:eastAsia="Times New Roman" w:hAnsi="Calibri" w:cs="Calibri"/>
          <w:color w:val="000000"/>
          <w:szCs w:val="22"/>
          <w:lang w:eastAsia="nl-NL"/>
        </w:rPr>
        <w:t xml:space="preserve"> vastgesteld. De actielijst i</w:t>
      </w:r>
      <w:r w:rsidR="00EB24C0">
        <w:rPr>
          <w:rFonts w:ascii="Calibri" w:eastAsia="Times New Roman" w:hAnsi="Calibri" w:cs="Calibri"/>
          <w:color w:val="000000"/>
          <w:szCs w:val="22"/>
          <w:lang w:eastAsia="nl-NL"/>
        </w:rPr>
        <w:t>s</w:t>
      </w:r>
      <w:r w:rsidR="00BD440B">
        <w:rPr>
          <w:rFonts w:ascii="Calibri" w:eastAsia="Times New Roman" w:hAnsi="Calibri" w:cs="Calibri"/>
          <w:color w:val="000000"/>
          <w:szCs w:val="22"/>
          <w:lang w:eastAsia="nl-NL"/>
        </w:rPr>
        <w:t xml:space="preserve"> bijgewerkt.</w:t>
      </w:r>
      <w:r w:rsidR="007924A8">
        <w:rPr>
          <w:rFonts w:ascii="Calibri" w:eastAsia="Times New Roman" w:hAnsi="Calibri" w:cs="Calibri"/>
          <w:color w:val="000000"/>
          <w:szCs w:val="22"/>
          <w:lang w:eastAsia="nl-NL"/>
        </w:rPr>
        <w:t xml:space="preserve"> </w:t>
      </w:r>
    </w:p>
    <w:p w14:paraId="68AA8D48" w14:textId="128F4ED9" w:rsidR="002A6B4D" w:rsidRDefault="002A6B4D" w:rsidP="007418C4">
      <w:pPr>
        <w:spacing w:after="240"/>
        <w:rPr>
          <w:rFonts w:ascii="Calibri" w:eastAsia="Times New Roman" w:hAnsi="Calibri" w:cs="Calibri"/>
          <w:color w:val="000000"/>
          <w:szCs w:val="22"/>
          <w:lang w:eastAsia="nl-NL"/>
        </w:rPr>
      </w:pPr>
      <w:r>
        <w:rPr>
          <w:rFonts w:ascii="Calibri" w:eastAsia="Times New Roman" w:hAnsi="Calibri" w:cs="Calibri"/>
          <w:color w:val="000000"/>
          <w:szCs w:val="22"/>
          <w:lang w:eastAsia="nl-NL"/>
        </w:rPr>
        <w:t>De inhoudelijke werkzaamheden voor het werkpakket Verantwoording zijn de afgelopen twee weken naar verschoven naar een later moment. Er was binnen IenW vooral aandacht voor het afronden van de regeling bvov 2022, gesprekken over een eventueel vangnet in 2023 en het borgen van continuïteit van de werkzaamheden.</w:t>
      </w:r>
    </w:p>
    <w:p w14:paraId="5FC13532" w14:textId="2ECC72ED" w:rsidR="00A262C1" w:rsidRDefault="00AD1258" w:rsidP="007418C4">
      <w:pPr>
        <w:spacing w:after="240"/>
        <w:rPr>
          <w:rFonts w:ascii="Calibri" w:eastAsia="Times New Roman" w:hAnsi="Calibri" w:cs="Calibri"/>
          <w:color w:val="000000"/>
          <w:szCs w:val="22"/>
          <w:lang w:eastAsia="nl-NL"/>
        </w:rPr>
      </w:pPr>
      <w:r>
        <w:rPr>
          <w:rFonts w:ascii="Calibri" w:eastAsia="Times New Roman" w:hAnsi="Calibri" w:cs="Calibri"/>
          <w:color w:val="000000"/>
          <w:szCs w:val="22"/>
          <w:lang w:eastAsia="nl-NL"/>
        </w:rPr>
        <w:t xml:space="preserve">Dit is de laatste bijeenkomst die </w:t>
      </w:r>
      <w:r w:rsidR="00A262C1">
        <w:rPr>
          <w:rFonts w:ascii="Calibri" w:eastAsia="Times New Roman" w:hAnsi="Calibri" w:cs="Calibri"/>
          <w:color w:val="000000"/>
          <w:szCs w:val="22"/>
          <w:lang w:eastAsia="nl-NL"/>
        </w:rPr>
        <w:t xml:space="preserve">Gé </w:t>
      </w:r>
      <w:r>
        <w:rPr>
          <w:rFonts w:ascii="Calibri" w:eastAsia="Times New Roman" w:hAnsi="Calibri" w:cs="Calibri"/>
          <w:color w:val="000000"/>
          <w:szCs w:val="22"/>
          <w:lang w:eastAsia="nl-NL"/>
        </w:rPr>
        <w:t>voorzit en bijwoont omdat hij immers p</w:t>
      </w:r>
      <w:r w:rsidR="00A262C1">
        <w:rPr>
          <w:rFonts w:ascii="Calibri" w:eastAsia="Times New Roman" w:hAnsi="Calibri" w:cs="Calibri"/>
          <w:color w:val="000000"/>
          <w:szCs w:val="22"/>
          <w:lang w:eastAsia="nl-NL"/>
        </w:rPr>
        <w:t>er 1 juli met pensioen</w:t>
      </w:r>
      <w:r>
        <w:rPr>
          <w:rFonts w:ascii="Calibri" w:eastAsia="Times New Roman" w:hAnsi="Calibri" w:cs="Calibri"/>
          <w:color w:val="000000"/>
          <w:szCs w:val="22"/>
          <w:lang w:eastAsia="nl-NL"/>
        </w:rPr>
        <w:t xml:space="preserve"> gaat</w:t>
      </w:r>
      <w:r w:rsidR="00A262C1">
        <w:rPr>
          <w:rFonts w:ascii="Calibri" w:eastAsia="Times New Roman" w:hAnsi="Calibri" w:cs="Calibri"/>
          <w:color w:val="000000"/>
          <w:szCs w:val="22"/>
          <w:lang w:eastAsia="nl-NL"/>
        </w:rPr>
        <w:t xml:space="preserve">. </w:t>
      </w:r>
      <w:r w:rsidR="007324DC">
        <w:rPr>
          <w:rFonts w:ascii="Calibri" w:eastAsia="Times New Roman" w:hAnsi="Calibri" w:cs="Calibri"/>
          <w:color w:val="000000"/>
          <w:szCs w:val="22"/>
          <w:lang w:eastAsia="nl-NL"/>
        </w:rPr>
        <w:t xml:space="preserve">Bart Snel zal de voorzittersrol van Gé overnemen. Verder blijft Rob onderdeel van de werkgroep zodat continuïteit geborgd is. Op dit moment loopt een </w:t>
      </w:r>
      <w:r w:rsidR="00C905CB">
        <w:rPr>
          <w:rFonts w:ascii="Calibri" w:eastAsia="Times New Roman" w:hAnsi="Calibri" w:cs="Calibri"/>
          <w:color w:val="000000"/>
          <w:szCs w:val="22"/>
          <w:lang w:eastAsia="nl-NL"/>
        </w:rPr>
        <w:t xml:space="preserve">externe </w:t>
      </w:r>
      <w:r w:rsidR="007324DC">
        <w:rPr>
          <w:rFonts w:ascii="Calibri" w:eastAsia="Times New Roman" w:hAnsi="Calibri" w:cs="Calibri"/>
          <w:color w:val="000000"/>
          <w:szCs w:val="22"/>
          <w:lang w:eastAsia="nl-NL"/>
        </w:rPr>
        <w:t>uitvraag naar</w:t>
      </w:r>
      <w:r w:rsidR="00C905CB">
        <w:rPr>
          <w:rFonts w:ascii="Calibri" w:eastAsia="Times New Roman" w:hAnsi="Calibri" w:cs="Calibri"/>
          <w:color w:val="000000"/>
          <w:szCs w:val="22"/>
          <w:lang w:eastAsia="nl-NL"/>
        </w:rPr>
        <w:t xml:space="preserve"> een </w:t>
      </w:r>
      <w:r w:rsidR="007349A6">
        <w:rPr>
          <w:rFonts w:ascii="Calibri" w:eastAsia="Times New Roman" w:hAnsi="Calibri" w:cs="Calibri"/>
          <w:color w:val="000000"/>
          <w:szCs w:val="22"/>
          <w:lang w:eastAsia="nl-NL"/>
        </w:rPr>
        <w:t>nieuwe</w:t>
      </w:r>
      <w:r w:rsidR="00C905CB">
        <w:rPr>
          <w:rFonts w:ascii="Calibri" w:eastAsia="Times New Roman" w:hAnsi="Calibri" w:cs="Calibri"/>
          <w:color w:val="000000"/>
          <w:szCs w:val="22"/>
          <w:lang w:eastAsia="nl-NL"/>
        </w:rPr>
        <w:t xml:space="preserve"> kracht in de rol als projectsecretaris</w:t>
      </w:r>
      <w:r w:rsidR="007349A6">
        <w:rPr>
          <w:rFonts w:ascii="Calibri" w:eastAsia="Times New Roman" w:hAnsi="Calibri" w:cs="Calibri"/>
          <w:color w:val="000000"/>
          <w:szCs w:val="22"/>
          <w:lang w:eastAsia="nl-NL"/>
        </w:rPr>
        <w:t xml:space="preserve"> die bovendien ruimte heeft om vooruitgeschoven acties </w:t>
      </w:r>
      <w:r w:rsidR="007324DC">
        <w:rPr>
          <w:rFonts w:ascii="Calibri" w:eastAsia="Times New Roman" w:hAnsi="Calibri" w:cs="Calibri"/>
          <w:color w:val="000000"/>
          <w:szCs w:val="22"/>
          <w:lang w:eastAsia="nl-NL"/>
        </w:rPr>
        <w:t>op</w:t>
      </w:r>
      <w:r w:rsidR="007349A6">
        <w:rPr>
          <w:rFonts w:ascii="Calibri" w:eastAsia="Times New Roman" w:hAnsi="Calibri" w:cs="Calibri"/>
          <w:color w:val="000000"/>
          <w:szCs w:val="22"/>
          <w:lang w:eastAsia="nl-NL"/>
        </w:rPr>
        <w:t xml:space="preserve"> te </w:t>
      </w:r>
      <w:r w:rsidR="007324DC">
        <w:rPr>
          <w:rFonts w:ascii="Calibri" w:eastAsia="Times New Roman" w:hAnsi="Calibri" w:cs="Calibri"/>
          <w:color w:val="000000"/>
          <w:szCs w:val="22"/>
          <w:lang w:eastAsia="nl-NL"/>
        </w:rPr>
        <w:t>pakken (zoals Q+A).</w:t>
      </w:r>
    </w:p>
    <w:p w14:paraId="11232476" w14:textId="29085AFF" w:rsidR="007324DC" w:rsidRDefault="007324DC" w:rsidP="007418C4">
      <w:pPr>
        <w:spacing w:after="240"/>
        <w:rPr>
          <w:rFonts w:ascii="Calibri" w:eastAsia="Times New Roman" w:hAnsi="Calibri" w:cs="Calibri"/>
          <w:color w:val="000000"/>
          <w:szCs w:val="22"/>
          <w:lang w:eastAsia="nl-NL"/>
        </w:rPr>
      </w:pPr>
      <w:r>
        <w:rPr>
          <w:rFonts w:ascii="Calibri" w:eastAsia="Times New Roman" w:hAnsi="Calibri" w:cs="Calibri"/>
          <w:color w:val="000000"/>
          <w:szCs w:val="22"/>
          <w:lang w:eastAsia="nl-NL"/>
        </w:rPr>
        <w:t>Gé helpt in juni nog bij de verdere voorbereiding van het proces op weg naar vaststelling van de subsidies voor 2020. Mede dankzij de bijdragen van deze werkgroep heeft hij er vertrouwen in dat de voorschotten bvov 2020 omgezet zullen worden in subsidies.</w:t>
      </w:r>
    </w:p>
    <w:p w14:paraId="4097A45B" w14:textId="6AF9DFC8" w:rsidR="00C30EE2" w:rsidRPr="000D45EE" w:rsidRDefault="00C30EE2" w:rsidP="007418C4">
      <w:pPr>
        <w:spacing w:after="240"/>
        <w:rPr>
          <w:rFonts w:ascii="Calibri" w:eastAsia="Times New Roman" w:hAnsi="Calibri" w:cs="Calibri"/>
          <w:color w:val="000000"/>
          <w:szCs w:val="22"/>
          <w:lang w:eastAsia="nl-NL"/>
        </w:rPr>
      </w:pPr>
      <w:r>
        <w:rPr>
          <w:rFonts w:ascii="Calibri" w:eastAsia="Times New Roman" w:hAnsi="Calibri" w:cs="Calibri"/>
          <w:color w:val="000000"/>
          <w:szCs w:val="22"/>
          <w:lang w:eastAsia="nl-NL"/>
        </w:rPr>
        <w:t>De leden van de werkgroep danken Gé voor zijn bijdragen</w:t>
      </w:r>
      <w:r w:rsidR="002D29B0">
        <w:rPr>
          <w:rFonts w:ascii="Calibri" w:eastAsia="Times New Roman" w:hAnsi="Calibri" w:cs="Calibri"/>
          <w:color w:val="000000"/>
          <w:szCs w:val="22"/>
          <w:lang w:eastAsia="nl-NL"/>
        </w:rPr>
        <w:t xml:space="preserve"> en wensen hem heel veel goeds</w:t>
      </w:r>
      <w:r>
        <w:rPr>
          <w:rFonts w:ascii="Calibri" w:eastAsia="Times New Roman" w:hAnsi="Calibri" w:cs="Calibri"/>
          <w:color w:val="000000"/>
          <w:szCs w:val="22"/>
          <w:lang w:eastAsia="nl-NL"/>
        </w:rPr>
        <w:t xml:space="preserve">. Het wordt een </w:t>
      </w:r>
      <w:r w:rsidR="002D29B0">
        <w:rPr>
          <w:rFonts w:ascii="Calibri" w:eastAsia="Times New Roman" w:hAnsi="Calibri" w:cs="Calibri"/>
          <w:color w:val="000000"/>
          <w:szCs w:val="22"/>
          <w:lang w:eastAsia="nl-NL"/>
        </w:rPr>
        <w:t>stevige uitdaging</w:t>
      </w:r>
      <w:r>
        <w:rPr>
          <w:rFonts w:ascii="Calibri" w:eastAsia="Times New Roman" w:hAnsi="Calibri" w:cs="Calibri"/>
          <w:color w:val="000000"/>
          <w:szCs w:val="22"/>
          <w:lang w:eastAsia="nl-NL"/>
        </w:rPr>
        <w:t xml:space="preserve"> o</w:t>
      </w:r>
      <w:r w:rsidR="002D29B0">
        <w:rPr>
          <w:rFonts w:ascii="Calibri" w:eastAsia="Times New Roman" w:hAnsi="Calibri" w:cs="Calibri"/>
          <w:color w:val="000000"/>
          <w:szCs w:val="22"/>
          <w:lang w:eastAsia="nl-NL"/>
        </w:rPr>
        <w:t>m het gemis op te vangen.</w:t>
      </w:r>
    </w:p>
    <w:p w14:paraId="4ED682C2" w14:textId="4765749F" w:rsidR="00AF280E" w:rsidRPr="00F84E0B" w:rsidRDefault="00C27B64" w:rsidP="00DC0C78">
      <w:pPr>
        <w:spacing w:after="240"/>
        <w:rPr>
          <w:rFonts w:ascii="Calibri" w:eastAsia="Times New Roman" w:hAnsi="Calibri" w:cs="Calibri"/>
          <w:i/>
          <w:iCs/>
          <w:color w:val="000000"/>
          <w:szCs w:val="22"/>
          <w:lang w:eastAsia="nl-NL"/>
        </w:rPr>
      </w:pPr>
      <w:r>
        <w:rPr>
          <w:rFonts w:ascii="Calibri" w:eastAsia="Times New Roman" w:hAnsi="Calibri" w:cs="Calibri"/>
          <w:i/>
          <w:iCs/>
          <w:color w:val="000000"/>
          <w:szCs w:val="22"/>
          <w:lang w:eastAsia="nl-NL"/>
        </w:rPr>
        <w:t xml:space="preserve">De regeling bvov </w:t>
      </w:r>
      <w:r w:rsidR="00F84E0B" w:rsidRPr="00F84E0B">
        <w:rPr>
          <w:rFonts w:ascii="Calibri" w:eastAsia="Times New Roman" w:hAnsi="Calibri" w:cs="Calibri"/>
          <w:i/>
          <w:iCs/>
          <w:color w:val="000000"/>
          <w:szCs w:val="22"/>
          <w:lang w:eastAsia="nl-NL"/>
        </w:rPr>
        <w:t>2022</w:t>
      </w:r>
    </w:p>
    <w:p w14:paraId="08353382" w14:textId="7AF1ABEE" w:rsidR="00C30EE2" w:rsidRDefault="00C30EE2" w:rsidP="00C27B64">
      <w:pPr>
        <w:spacing w:after="240"/>
        <w:rPr>
          <w:rFonts w:ascii="Calibri" w:eastAsia="Times New Roman" w:hAnsi="Calibri" w:cs="Calibri"/>
          <w:color w:val="000000"/>
          <w:szCs w:val="22"/>
          <w:lang w:eastAsia="nl-NL"/>
        </w:rPr>
      </w:pPr>
      <w:r>
        <w:rPr>
          <w:rFonts w:ascii="Calibri" w:eastAsia="Times New Roman" w:hAnsi="Calibri" w:cs="Calibri"/>
          <w:color w:val="000000"/>
          <w:szCs w:val="22"/>
          <w:lang w:eastAsia="nl-NL"/>
        </w:rPr>
        <w:t xml:space="preserve">De optie om bvov over alleen de eerste 8 maanden van 2022 te laten berekenen, wordt geen onderdeel van de regeling. </w:t>
      </w:r>
    </w:p>
    <w:p w14:paraId="57A59F5E" w14:textId="670BC81B" w:rsidR="00EC671B" w:rsidRPr="009633F7" w:rsidRDefault="00C30EE2" w:rsidP="00C27B64">
      <w:pPr>
        <w:spacing w:after="240"/>
        <w:rPr>
          <w:rFonts w:ascii="Calibri" w:eastAsia="Times New Roman" w:hAnsi="Calibri" w:cs="Calibri"/>
          <w:color w:val="000000"/>
          <w:szCs w:val="22"/>
          <w:lang w:eastAsia="nl-NL"/>
        </w:rPr>
      </w:pPr>
      <w:r>
        <w:rPr>
          <w:rFonts w:ascii="Calibri" w:eastAsia="Times New Roman" w:hAnsi="Calibri" w:cs="Calibri"/>
          <w:color w:val="000000"/>
          <w:szCs w:val="22"/>
          <w:lang w:eastAsia="nl-NL"/>
        </w:rPr>
        <w:t xml:space="preserve">Regeling </w:t>
      </w:r>
      <w:proofErr w:type="spellStart"/>
      <w:r>
        <w:rPr>
          <w:rFonts w:ascii="Calibri" w:eastAsia="Times New Roman" w:hAnsi="Calibri" w:cs="Calibri"/>
          <w:color w:val="000000"/>
          <w:szCs w:val="22"/>
          <w:lang w:eastAsia="nl-NL"/>
        </w:rPr>
        <w:t>Spuk</w:t>
      </w:r>
      <w:proofErr w:type="spellEnd"/>
      <w:r>
        <w:rPr>
          <w:rFonts w:ascii="Calibri" w:eastAsia="Times New Roman" w:hAnsi="Calibri" w:cs="Calibri"/>
          <w:color w:val="000000"/>
          <w:szCs w:val="22"/>
          <w:lang w:eastAsia="nl-NL"/>
        </w:rPr>
        <w:t xml:space="preserve"> (en technische notitie) zijn de lijn in richting Staatssecretaris. IenW streeft naar publ</w:t>
      </w:r>
      <w:r w:rsidR="00C27B64">
        <w:rPr>
          <w:rFonts w:ascii="Calibri" w:eastAsia="Times New Roman" w:hAnsi="Calibri" w:cs="Calibri"/>
          <w:color w:val="000000"/>
          <w:szCs w:val="22"/>
          <w:lang w:eastAsia="nl-NL"/>
        </w:rPr>
        <w:t xml:space="preserve">icatie </w:t>
      </w:r>
      <w:r>
        <w:rPr>
          <w:rFonts w:ascii="Calibri" w:eastAsia="Times New Roman" w:hAnsi="Calibri" w:cs="Calibri"/>
          <w:color w:val="000000"/>
          <w:szCs w:val="22"/>
          <w:lang w:eastAsia="nl-NL"/>
        </w:rPr>
        <w:t>rond 15 juni.</w:t>
      </w:r>
      <w:r w:rsidR="001622DA">
        <w:rPr>
          <w:rFonts w:ascii="Calibri" w:eastAsia="Times New Roman" w:hAnsi="Calibri" w:cs="Calibri"/>
          <w:color w:val="000000"/>
          <w:szCs w:val="22"/>
          <w:lang w:eastAsia="nl-NL"/>
        </w:rPr>
        <w:t xml:space="preserve"> </w:t>
      </w:r>
    </w:p>
    <w:p w14:paraId="50EEF951" w14:textId="308E97DA" w:rsidR="008F030C" w:rsidRPr="00736D62" w:rsidRDefault="007B3119" w:rsidP="006755A2">
      <w:pPr>
        <w:rPr>
          <w:i/>
          <w:iCs/>
        </w:rPr>
      </w:pPr>
      <w:proofErr w:type="spellStart"/>
      <w:r w:rsidRPr="00B62B0F">
        <w:rPr>
          <w:i/>
          <w:iCs/>
        </w:rPr>
        <w:t>Wvttk</w:t>
      </w:r>
      <w:proofErr w:type="spellEnd"/>
    </w:p>
    <w:p w14:paraId="36498041" w14:textId="455C3C91" w:rsidR="00D757B5" w:rsidRDefault="002D29B0" w:rsidP="006755A2">
      <w:r>
        <w:t>De cao-onderhandelingen brengen sta</w:t>
      </w:r>
      <w:r w:rsidR="00C30EE2">
        <w:t>kingen</w:t>
      </w:r>
      <w:r>
        <w:t xml:space="preserve"> in stad- en streekvervoer met zich mee. </w:t>
      </w:r>
      <w:r w:rsidR="00E33783">
        <w:t xml:space="preserve">Brigitte geeft aan dat uitval verrekent wordt met de 100% exploitatiesubsidie. </w:t>
      </w:r>
      <w:r>
        <w:t xml:space="preserve">Op een vraag van Brigitte </w:t>
      </w:r>
      <w:r w:rsidR="00E33783">
        <w:t xml:space="preserve">of de regeling daar ruimte voor biedt, </w:t>
      </w:r>
      <w:r>
        <w:t xml:space="preserve">bevestigt IenW </w:t>
      </w:r>
      <w:r w:rsidR="00E33783">
        <w:t>dat dat in de geest van de regeling past: idem handelen als wanneer er geen pandemie geweest zou zijn. De exploitatiesubsidie behoort alleen niet gecorrigeerd te worden voor afschalen om de effecten van de coronacrisis op te vangen</w:t>
      </w:r>
    </w:p>
    <w:p w14:paraId="6F524A4F" w14:textId="77777777" w:rsidR="00F12587" w:rsidRPr="00B62B0F" w:rsidRDefault="00F12587" w:rsidP="006755A2"/>
    <w:p w14:paraId="49E15CF5" w14:textId="77777777" w:rsidR="006755A2" w:rsidRPr="00A2778C" w:rsidRDefault="00D340A8" w:rsidP="006755A2">
      <w:pPr>
        <w:rPr>
          <w:i/>
          <w:iCs/>
        </w:rPr>
      </w:pPr>
      <w:r w:rsidRPr="00A2778C">
        <w:rPr>
          <w:i/>
          <w:iCs/>
        </w:rPr>
        <w:t>Vervolgafspraak</w:t>
      </w:r>
    </w:p>
    <w:p w14:paraId="6106D6F9" w14:textId="06BD260F" w:rsidR="001F7045" w:rsidRDefault="006755A2">
      <w:r w:rsidRPr="00A2778C">
        <w:t xml:space="preserve">De </w:t>
      </w:r>
      <w:r w:rsidR="00616E06" w:rsidRPr="00A2778C">
        <w:t>volgende</w:t>
      </w:r>
      <w:r w:rsidRPr="00A2778C">
        <w:t xml:space="preserve"> </w:t>
      </w:r>
      <w:r w:rsidR="00F86D2D" w:rsidRPr="00A2778C">
        <w:t xml:space="preserve">(online) </w:t>
      </w:r>
      <w:r w:rsidR="00616E06" w:rsidRPr="00A2778C">
        <w:t>afspraak</w:t>
      </w:r>
      <w:r w:rsidR="00EB24C0">
        <w:t xml:space="preserve"> </w:t>
      </w:r>
      <w:r w:rsidR="00616E06" w:rsidRPr="00A2778C">
        <w:t>is op</w:t>
      </w:r>
      <w:r w:rsidRPr="00A2778C">
        <w:t xml:space="preserve"> </w:t>
      </w:r>
      <w:r w:rsidR="00407962">
        <w:t>donder</w:t>
      </w:r>
      <w:r w:rsidRPr="00A2778C">
        <w:t xml:space="preserve">dag </w:t>
      </w:r>
      <w:r w:rsidR="00BE6D20">
        <w:t>16</w:t>
      </w:r>
      <w:r w:rsidR="00EB24C0">
        <w:t xml:space="preserve"> juni van</w:t>
      </w:r>
      <w:r w:rsidR="001B50B7">
        <w:t xml:space="preserve"> </w:t>
      </w:r>
      <w:r w:rsidRPr="00A2778C">
        <w:t>1</w:t>
      </w:r>
      <w:r w:rsidR="00407962">
        <w:t>3</w:t>
      </w:r>
      <w:r w:rsidRPr="00A2778C">
        <w:t>.</w:t>
      </w:r>
      <w:r w:rsidR="00616E06" w:rsidRPr="00A2778C">
        <w:t>0</w:t>
      </w:r>
      <w:r w:rsidRPr="00A2778C">
        <w:t>0 – 1</w:t>
      </w:r>
      <w:r w:rsidR="00407962">
        <w:t>4</w:t>
      </w:r>
      <w:r w:rsidRPr="00A2778C">
        <w:t>.00 uur.</w:t>
      </w:r>
      <w:r w:rsidR="00EB24C0">
        <w:t xml:space="preserve"> </w:t>
      </w:r>
    </w:p>
    <w:p w14:paraId="245FA964" w14:textId="77777777" w:rsidR="001F7045" w:rsidRDefault="001F7045"/>
    <w:p w14:paraId="023E2CEE" w14:textId="77777777" w:rsidR="00613F83" w:rsidRDefault="00613F83">
      <w:r>
        <w:br w:type="page"/>
      </w:r>
    </w:p>
    <w:p w14:paraId="6E54AC41" w14:textId="3907FB3D" w:rsidR="00C62FF1" w:rsidRPr="00A2778C" w:rsidRDefault="00C62FF1" w:rsidP="00C62FF1">
      <w:r w:rsidRPr="00A2778C">
        <w:lastRenderedPageBreak/>
        <w:t>Acties, afspraken</w:t>
      </w:r>
      <w:r w:rsidR="008D6541" w:rsidRPr="00A2778C">
        <w:t>:</w:t>
      </w:r>
    </w:p>
    <w:p w14:paraId="0798ABC1" w14:textId="0701B84D" w:rsidR="008D6541" w:rsidRPr="00C95AF8" w:rsidRDefault="008D6541" w:rsidP="00C62FF1">
      <w:pPr>
        <w:rPr>
          <w:highlight w:val="yellow"/>
        </w:rPr>
      </w:pPr>
    </w:p>
    <w:tbl>
      <w:tblPr>
        <w:tblStyle w:val="Tabelraster"/>
        <w:tblW w:w="9014" w:type="dxa"/>
        <w:tblLook w:val="04A0" w:firstRow="1" w:lastRow="0" w:firstColumn="1" w:lastColumn="0" w:noHBand="0" w:noVBand="1"/>
      </w:tblPr>
      <w:tblGrid>
        <w:gridCol w:w="462"/>
        <w:gridCol w:w="3027"/>
        <w:gridCol w:w="1621"/>
        <w:gridCol w:w="1676"/>
        <w:gridCol w:w="2228"/>
      </w:tblGrid>
      <w:tr w:rsidR="0063701A" w:rsidRPr="00C95AF8" w14:paraId="1C5BBB14" w14:textId="77777777" w:rsidTr="0063701A">
        <w:trPr>
          <w:tblHeader/>
        </w:trPr>
        <w:tc>
          <w:tcPr>
            <w:tcW w:w="462" w:type="dxa"/>
            <w:shd w:val="clear" w:color="auto" w:fill="D9D9D9" w:themeFill="background1" w:themeFillShade="D9"/>
          </w:tcPr>
          <w:p w14:paraId="498C5D54" w14:textId="77777777" w:rsidR="00C62FF1" w:rsidRPr="00C95AF8" w:rsidRDefault="00C62FF1" w:rsidP="006B2AC4">
            <w:pPr>
              <w:rPr>
                <w:b/>
                <w:bCs/>
                <w:i/>
                <w:iCs/>
                <w:sz w:val="18"/>
                <w:szCs w:val="18"/>
                <w:highlight w:val="yellow"/>
              </w:rPr>
            </w:pPr>
            <w:bookmarkStart w:id="0" w:name="_Hlk108165179"/>
          </w:p>
        </w:tc>
        <w:tc>
          <w:tcPr>
            <w:tcW w:w="3027" w:type="dxa"/>
            <w:shd w:val="clear" w:color="auto" w:fill="D9D9D9" w:themeFill="background1" w:themeFillShade="D9"/>
          </w:tcPr>
          <w:p w14:paraId="28E53AC8" w14:textId="77777777" w:rsidR="00C62FF1" w:rsidRPr="00A2778C" w:rsidRDefault="00C62FF1" w:rsidP="006B2AC4">
            <w:pPr>
              <w:rPr>
                <w:b/>
                <w:bCs/>
                <w:i/>
                <w:iCs/>
                <w:sz w:val="18"/>
                <w:szCs w:val="18"/>
              </w:rPr>
            </w:pPr>
            <w:r w:rsidRPr="00A2778C">
              <w:rPr>
                <w:b/>
                <w:bCs/>
                <w:i/>
                <w:iCs/>
                <w:sz w:val="18"/>
                <w:szCs w:val="18"/>
              </w:rPr>
              <w:t>Actie/afspraak</w:t>
            </w:r>
          </w:p>
        </w:tc>
        <w:tc>
          <w:tcPr>
            <w:tcW w:w="1621" w:type="dxa"/>
            <w:shd w:val="clear" w:color="auto" w:fill="D9D9D9" w:themeFill="background1" w:themeFillShade="D9"/>
          </w:tcPr>
          <w:p w14:paraId="7D0CC745" w14:textId="77777777" w:rsidR="00C62FF1" w:rsidRPr="00A2778C" w:rsidRDefault="00C62FF1" w:rsidP="006B2AC4">
            <w:pPr>
              <w:rPr>
                <w:b/>
                <w:bCs/>
                <w:i/>
                <w:iCs/>
                <w:sz w:val="18"/>
                <w:szCs w:val="18"/>
              </w:rPr>
            </w:pPr>
            <w:r w:rsidRPr="00A2778C">
              <w:rPr>
                <w:b/>
                <w:bCs/>
                <w:i/>
                <w:iCs/>
                <w:sz w:val="18"/>
                <w:szCs w:val="18"/>
              </w:rPr>
              <w:t>Wie</w:t>
            </w:r>
          </w:p>
        </w:tc>
        <w:tc>
          <w:tcPr>
            <w:tcW w:w="1676" w:type="dxa"/>
            <w:shd w:val="clear" w:color="auto" w:fill="D9D9D9" w:themeFill="background1" w:themeFillShade="D9"/>
          </w:tcPr>
          <w:p w14:paraId="6E45A03E" w14:textId="77777777" w:rsidR="00C62FF1" w:rsidRPr="00A2778C" w:rsidRDefault="00C62FF1" w:rsidP="006B2AC4">
            <w:pPr>
              <w:rPr>
                <w:b/>
                <w:bCs/>
                <w:i/>
                <w:iCs/>
                <w:sz w:val="18"/>
                <w:szCs w:val="18"/>
              </w:rPr>
            </w:pPr>
            <w:r w:rsidRPr="00A2778C">
              <w:rPr>
                <w:b/>
                <w:bCs/>
                <w:i/>
                <w:iCs/>
                <w:sz w:val="18"/>
                <w:szCs w:val="18"/>
              </w:rPr>
              <w:t>Datum</w:t>
            </w:r>
          </w:p>
        </w:tc>
        <w:tc>
          <w:tcPr>
            <w:tcW w:w="2228" w:type="dxa"/>
            <w:shd w:val="clear" w:color="auto" w:fill="D9D9D9" w:themeFill="background1" w:themeFillShade="D9"/>
          </w:tcPr>
          <w:p w14:paraId="0021663C" w14:textId="77777777" w:rsidR="00C62FF1" w:rsidRPr="00A2778C" w:rsidRDefault="00C62FF1" w:rsidP="006B2AC4">
            <w:pPr>
              <w:rPr>
                <w:b/>
                <w:bCs/>
                <w:i/>
                <w:iCs/>
                <w:sz w:val="18"/>
                <w:szCs w:val="18"/>
              </w:rPr>
            </w:pPr>
            <w:r w:rsidRPr="00A2778C">
              <w:rPr>
                <w:b/>
                <w:bCs/>
                <w:i/>
                <w:iCs/>
                <w:sz w:val="18"/>
                <w:szCs w:val="18"/>
              </w:rPr>
              <w:t>Toelichting</w:t>
            </w:r>
          </w:p>
        </w:tc>
      </w:tr>
      <w:tr w:rsidR="00611661" w:rsidRPr="00216B09" w14:paraId="06FC40C2" w14:textId="77777777" w:rsidTr="0063701A">
        <w:tc>
          <w:tcPr>
            <w:tcW w:w="462" w:type="dxa"/>
          </w:tcPr>
          <w:p w14:paraId="01D05F39" w14:textId="29F380CE" w:rsidR="00611661" w:rsidRDefault="00395083" w:rsidP="0063701A">
            <w:pPr>
              <w:rPr>
                <w:sz w:val="18"/>
                <w:szCs w:val="18"/>
              </w:rPr>
            </w:pPr>
            <w:r>
              <w:rPr>
                <w:sz w:val="18"/>
                <w:szCs w:val="18"/>
              </w:rPr>
              <w:t>1</w:t>
            </w:r>
          </w:p>
        </w:tc>
        <w:tc>
          <w:tcPr>
            <w:tcW w:w="3027" w:type="dxa"/>
          </w:tcPr>
          <w:p w14:paraId="31E1BF9C" w14:textId="611CCAED" w:rsidR="00611661" w:rsidRPr="00F05B10" w:rsidRDefault="00611661" w:rsidP="0063701A">
            <w:pPr>
              <w:rPr>
                <w:sz w:val="18"/>
                <w:szCs w:val="18"/>
              </w:rPr>
            </w:pPr>
            <w:r>
              <w:rPr>
                <w:sz w:val="18"/>
                <w:szCs w:val="18"/>
              </w:rPr>
              <w:t>Uitwerken proces I&amp;W om tot vaststelling te komen</w:t>
            </w:r>
          </w:p>
        </w:tc>
        <w:tc>
          <w:tcPr>
            <w:tcW w:w="1621" w:type="dxa"/>
          </w:tcPr>
          <w:p w14:paraId="3C809C77" w14:textId="1A9617CB" w:rsidR="00611661" w:rsidRDefault="00611661" w:rsidP="0063701A">
            <w:pPr>
              <w:rPr>
                <w:sz w:val="18"/>
                <w:szCs w:val="18"/>
              </w:rPr>
            </w:pPr>
            <w:r>
              <w:rPr>
                <w:sz w:val="18"/>
                <w:szCs w:val="18"/>
              </w:rPr>
              <w:t>Gé en Rob</w:t>
            </w:r>
          </w:p>
        </w:tc>
        <w:tc>
          <w:tcPr>
            <w:tcW w:w="1676" w:type="dxa"/>
          </w:tcPr>
          <w:p w14:paraId="2CFF5514" w14:textId="0340F928" w:rsidR="00611661" w:rsidRPr="00F05B10" w:rsidRDefault="00611661" w:rsidP="0063701A">
            <w:pPr>
              <w:rPr>
                <w:sz w:val="18"/>
                <w:szCs w:val="18"/>
              </w:rPr>
            </w:pPr>
            <w:proofErr w:type="spellStart"/>
            <w:r>
              <w:rPr>
                <w:sz w:val="18"/>
                <w:szCs w:val="18"/>
              </w:rPr>
              <w:t>Zsm</w:t>
            </w:r>
            <w:proofErr w:type="spellEnd"/>
          </w:p>
        </w:tc>
        <w:tc>
          <w:tcPr>
            <w:tcW w:w="2228" w:type="dxa"/>
          </w:tcPr>
          <w:p w14:paraId="5A6F9D8E" w14:textId="329A22D0" w:rsidR="00611661" w:rsidRPr="00F05B10" w:rsidRDefault="00611661" w:rsidP="0063701A">
            <w:pPr>
              <w:rPr>
                <w:sz w:val="18"/>
                <w:szCs w:val="18"/>
              </w:rPr>
            </w:pPr>
            <w:r>
              <w:rPr>
                <w:sz w:val="18"/>
                <w:szCs w:val="18"/>
              </w:rPr>
              <w:t>In overleg met UDAC</w:t>
            </w:r>
          </w:p>
        </w:tc>
      </w:tr>
      <w:tr w:rsidR="00F10505" w:rsidRPr="00216B09" w14:paraId="33F03A12" w14:textId="77777777" w:rsidTr="0063701A">
        <w:tc>
          <w:tcPr>
            <w:tcW w:w="462" w:type="dxa"/>
          </w:tcPr>
          <w:p w14:paraId="68C2A2B3" w14:textId="2BA6866E" w:rsidR="00F10505" w:rsidRDefault="00395083" w:rsidP="0063701A">
            <w:pPr>
              <w:rPr>
                <w:sz w:val="18"/>
                <w:szCs w:val="18"/>
              </w:rPr>
            </w:pPr>
            <w:r>
              <w:rPr>
                <w:sz w:val="18"/>
                <w:szCs w:val="18"/>
              </w:rPr>
              <w:t>2</w:t>
            </w:r>
          </w:p>
        </w:tc>
        <w:tc>
          <w:tcPr>
            <w:tcW w:w="3027" w:type="dxa"/>
          </w:tcPr>
          <w:p w14:paraId="0DE889F1" w14:textId="6C048872" w:rsidR="00F10505" w:rsidRDefault="00F10505" w:rsidP="0063701A">
            <w:pPr>
              <w:rPr>
                <w:sz w:val="18"/>
                <w:szCs w:val="18"/>
              </w:rPr>
            </w:pPr>
            <w:r>
              <w:rPr>
                <w:sz w:val="18"/>
                <w:szCs w:val="18"/>
              </w:rPr>
              <w:t>Decentrale concessieverleners informeren over proces hetgeen nodig is om tot vaststelling te komen</w:t>
            </w:r>
          </w:p>
        </w:tc>
        <w:tc>
          <w:tcPr>
            <w:tcW w:w="1621" w:type="dxa"/>
          </w:tcPr>
          <w:p w14:paraId="2D009F05" w14:textId="0D149A43" w:rsidR="00F10505" w:rsidRDefault="00F10505" w:rsidP="0063701A">
            <w:pPr>
              <w:rPr>
                <w:sz w:val="18"/>
                <w:szCs w:val="18"/>
              </w:rPr>
            </w:pPr>
            <w:r>
              <w:rPr>
                <w:sz w:val="18"/>
                <w:szCs w:val="18"/>
              </w:rPr>
              <w:t>Rob</w:t>
            </w:r>
          </w:p>
        </w:tc>
        <w:tc>
          <w:tcPr>
            <w:tcW w:w="1676" w:type="dxa"/>
          </w:tcPr>
          <w:p w14:paraId="0BE14CB3" w14:textId="280CC412" w:rsidR="00F10505" w:rsidRDefault="00F10505" w:rsidP="0063701A">
            <w:pPr>
              <w:rPr>
                <w:sz w:val="18"/>
                <w:szCs w:val="18"/>
              </w:rPr>
            </w:pPr>
            <w:r>
              <w:rPr>
                <w:sz w:val="18"/>
                <w:szCs w:val="18"/>
              </w:rPr>
              <w:t>Volgt op actie 2</w:t>
            </w:r>
          </w:p>
        </w:tc>
        <w:tc>
          <w:tcPr>
            <w:tcW w:w="2228" w:type="dxa"/>
          </w:tcPr>
          <w:p w14:paraId="5D48263F" w14:textId="22FA3603" w:rsidR="00F10505" w:rsidRDefault="00F10505" w:rsidP="0063701A">
            <w:pPr>
              <w:rPr>
                <w:sz w:val="18"/>
                <w:szCs w:val="18"/>
              </w:rPr>
            </w:pPr>
            <w:r>
              <w:rPr>
                <w:sz w:val="18"/>
                <w:szCs w:val="18"/>
              </w:rPr>
              <w:t xml:space="preserve">Informatie die in deze werkgroep gedeeld wordt, bereikt niet alle </w:t>
            </w:r>
            <w:proofErr w:type="spellStart"/>
            <w:r>
              <w:rPr>
                <w:sz w:val="18"/>
                <w:szCs w:val="18"/>
              </w:rPr>
              <w:t>DO’s</w:t>
            </w:r>
            <w:proofErr w:type="spellEnd"/>
            <w:r>
              <w:rPr>
                <w:sz w:val="18"/>
                <w:szCs w:val="18"/>
              </w:rPr>
              <w:t>.</w:t>
            </w:r>
          </w:p>
        </w:tc>
      </w:tr>
      <w:tr w:rsidR="009A29B3" w:rsidRPr="00216B09" w14:paraId="6820CC81" w14:textId="77777777" w:rsidTr="0063701A">
        <w:tc>
          <w:tcPr>
            <w:tcW w:w="462" w:type="dxa"/>
          </w:tcPr>
          <w:p w14:paraId="0FEFCB64" w14:textId="726886C4" w:rsidR="009A29B3" w:rsidRDefault="00BE6D20" w:rsidP="009A29B3">
            <w:pPr>
              <w:rPr>
                <w:sz w:val="18"/>
                <w:szCs w:val="18"/>
              </w:rPr>
            </w:pPr>
            <w:r>
              <w:rPr>
                <w:sz w:val="18"/>
                <w:szCs w:val="18"/>
              </w:rPr>
              <w:t>3</w:t>
            </w:r>
          </w:p>
        </w:tc>
        <w:tc>
          <w:tcPr>
            <w:tcW w:w="3027" w:type="dxa"/>
          </w:tcPr>
          <w:p w14:paraId="21FFF8C8" w14:textId="6CCE9954" w:rsidR="009A29B3" w:rsidRDefault="009A29B3" w:rsidP="009A29B3">
            <w:pPr>
              <w:rPr>
                <w:sz w:val="18"/>
                <w:szCs w:val="18"/>
              </w:rPr>
            </w:pPr>
            <w:r>
              <w:rPr>
                <w:sz w:val="18"/>
                <w:szCs w:val="18"/>
              </w:rPr>
              <w:t xml:space="preserve">Invulwijzer </w:t>
            </w:r>
            <w:proofErr w:type="spellStart"/>
            <w:r>
              <w:rPr>
                <w:sz w:val="18"/>
                <w:szCs w:val="18"/>
              </w:rPr>
              <w:t>SiSa</w:t>
            </w:r>
            <w:proofErr w:type="spellEnd"/>
            <w:r>
              <w:rPr>
                <w:sz w:val="18"/>
                <w:szCs w:val="18"/>
              </w:rPr>
              <w:t xml:space="preserve"> 2023 en 2024 aanpassen. Op punt vertrouwelijk omgaan met gegevens  verantwoording</w:t>
            </w:r>
            <w:r w:rsidR="00E43070">
              <w:rPr>
                <w:sz w:val="18"/>
                <w:szCs w:val="18"/>
              </w:rPr>
              <w:t>.</w:t>
            </w:r>
          </w:p>
          <w:p w14:paraId="7D5A8308" w14:textId="3E0E7A82" w:rsidR="00736D62" w:rsidRDefault="00736D62" w:rsidP="009A29B3">
            <w:pPr>
              <w:rPr>
                <w:sz w:val="18"/>
                <w:szCs w:val="18"/>
              </w:rPr>
            </w:pPr>
            <w:r>
              <w:rPr>
                <w:sz w:val="18"/>
                <w:szCs w:val="18"/>
              </w:rPr>
              <w:t>Invulwijzer heeft meer gezag (naar accountants) dan berichten over omgaan met verantwoording bvov door IenW</w:t>
            </w:r>
          </w:p>
        </w:tc>
        <w:tc>
          <w:tcPr>
            <w:tcW w:w="1621" w:type="dxa"/>
          </w:tcPr>
          <w:p w14:paraId="1461C398" w14:textId="2A96FBCA" w:rsidR="009A29B3" w:rsidRDefault="002E19BD" w:rsidP="009A29B3">
            <w:pPr>
              <w:rPr>
                <w:sz w:val="18"/>
                <w:szCs w:val="18"/>
              </w:rPr>
            </w:pPr>
            <w:r>
              <w:rPr>
                <w:sz w:val="18"/>
                <w:szCs w:val="18"/>
              </w:rPr>
              <w:t xml:space="preserve">Gé en Rob doen navraag bij collega’s IenW die betrokken zijn bij opstellen van </w:t>
            </w:r>
            <w:proofErr w:type="spellStart"/>
            <w:r>
              <w:rPr>
                <w:sz w:val="18"/>
                <w:szCs w:val="18"/>
              </w:rPr>
              <w:t>SiSa</w:t>
            </w:r>
            <w:proofErr w:type="spellEnd"/>
            <w:r>
              <w:rPr>
                <w:sz w:val="18"/>
                <w:szCs w:val="18"/>
              </w:rPr>
              <w:t>-invulwijzer</w:t>
            </w:r>
          </w:p>
        </w:tc>
        <w:tc>
          <w:tcPr>
            <w:tcW w:w="1676" w:type="dxa"/>
          </w:tcPr>
          <w:p w14:paraId="05995119" w14:textId="4468A989" w:rsidR="009A29B3" w:rsidRDefault="009A29B3" w:rsidP="009A29B3">
            <w:pPr>
              <w:rPr>
                <w:sz w:val="18"/>
                <w:szCs w:val="18"/>
              </w:rPr>
            </w:pPr>
            <w:proofErr w:type="spellStart"/>
            <w:r>
              <w:rPr>
                <w:sz w:val="18"/>
                <w:szCs w:val="18"/>
              </w:rPr>
              <w:t>Zsm</w:t>
            </w:r>
            <w:proofErr w:type="spellEnd"/>
          </w:p>
        </w:tc>
        <w:tc>
          <w:tcPr>
            <w:tcW w:w="2228" w:type="dxa"/>
          </w:tcPr>
          <w:p w14:paraId="4A352493" w14:textId="77777777" w:rsidR="009A29B3" w:rsidRPr="00B545B0" w:rsidRDefault="009A29B3" w:rsidP="00B545B0">
            <w:pPr>
              <w:pStyle w:val="Lijstalinea"/>
              <w:numPr>
                <w:ilvl w:val="0"/>
                <w:numId w:val="29"/>
              </w:numPr>
              <w:rPr>
                <w:sz w:val="18"/>
                <w:szCs w:val="18"/>
              </w:rPr>
            </w:pPr>
            <w:r w:rsidRPr="00B545B0">
              <w:rPr>
                <w:sz w:val="18"/>
                <w:szCs w:val="18"/>
              </w:rPr>
              <w:t>Aangeven dat DO een aantal gegevens uit het format waarin de bvov verantwoord moet worden, vanwege hun vertrouwelijke karakter niet moet publiceren.</w:t>
            </w:r>
          </w:p>
          <w:p w14:paraId="21FB0FB4" w14:textId="77777777" w:rsidR="00650A74" w:rsidRDefault="00650A74" w:rsidP="00B545B0">
            <w:pPr>
              <w:pStyle w:val="Lijstalinea"/>
              <w:numPr>
                <w:ilvl w:val="0"/>
                <w:numId w:val="29"/>
              </w:numPr>
              <w:rPr>
                <w:sz w:val="18"/>
                <w:szCs w:val="18"/>
              </w:rPr>
            </w:pPr>
            <w:r w:rsidRPr="00B545B0">
              <w:rPr>
                <w:sz w:val="18"/>
                <w:szCs w:val="18"/>
              </w:rPr>
              <w:t>Specifieke bedragen voor verantwoording aan EC zijn dan niet meer nodig.</w:t>
            </w:r>
          </w:p>
          <w:p w14:paraId="65C8EC5E" w14:textId="2302F5E6" w:rsidR="00B545B0" w:rsidRPr="00B545B0" w:rsidRDefault="00B545B0" w:rsidP="00B545B0">
            <w:pPr>
              <w:pStyle w:val="Lijstalinea"/>
              <w:numPr>
                <w:ilvl w:val="0"/>
                <w:numId w:val="29"/>
              </w:numPr>
              <w:rPr>
                <w:sz w:val="18"/>
                <w:szCs w:val="18"/>
              </w:rPr>
            </w:pPr>
            <w:r>
              <w:rPr>
                <w:sz w:val="18"/>
                <w:szCs w:val="18"/>
              </w:rPr>
              <w:t>Testen invulsheet.</w:t>
            </w:r>
          </w:p>
        </w:tc>
      </w:tr>
      <w:tr w:rsidR="00650A74" w:rsidRPr="00216B09" w14:paraId="41030A6C" w14:textId="77777777" w:rsidTr="0063701A">
        <w:tc>
          <w:tcPr>
            <w:tcW w:w="462" w:type="dxa"/>
          </w:tcPr>
          <w:p w14:paraId="7B06FA86" w14:textId="44881B80" w:rsidR="00650A74" w:rsidRDefault="002E19BD" w:rsidP="009A29B3">
            <w:pPr>
              <w:rPr>
                <w:sz w:val="18"/>
                <w:szCs w:val="18"/>
              </w:rPr>
            </w:pPr>
            <w:r>
              <w:rPr>
                <w:sz w:val="18"/>
                <w:szCs w:val="18"/>
              </w:rPr>
              <w:t>5</w:t>
            </w:r>
          </w:p>
        </w:tc>
        <w:tc>
          <w:tcPr>
            <w:tcW w:w="3027" w:type="dxa"/>
          </w:tcPr>
          <w:p w14:paraId="55C5D400" w14:textId="43A03C5D" w:rsidR="00650A74" w:rsidRDefault="00650A74" w:rsidP="009A29B3">
            <w:pPr>
              <w:rPr>
                <w:sz w:val="18"/>
                <w:szCs w:val="18"/>
              </w:rPr>
            </w:pPr>
            <w:r>
              <w:rPr>
                <w:sz w:val="18"/>
                <w:szCs w:val="18"/>
              </w:rPr>
              <w:t>Q+A</w:t>
            </w:r>
            <w:r w:rsidR="00B545B0">
              <w:rPr>
                <w:sz w:val="18"/>
                <w:szCs w:val="18"/>
              </w:rPr>
              <w:t xml:space="preserve"> </w:t>
            </w:r>
          </w:p>
        </w:tc>
        <w:tc>
          <w:tcPr>
            <w:tcW w:w="1621" w:type="dxa"/>
          </w:tcPr>
          <w:p w14:paraId="2162DE71" w14:textId="68A637FE" w:rsidR="00650A74" w:rsidRDefault="00926437" w:rsidP="009A29B3">
            <w:pPr>
              <w:rPr>
                <w:sz w:val="18"/>
                <w:szCs w:val="18"/>
              </w:rPr>
            </w:pPr>
            <w:r>
              <w:rPr>
                <w:sz w:val="18"/>
                <w:szCs w:val="18"/>
              </w:rPr>
              <w:t>IenW</w:t>
            </w:r>
          </w:p>
        </w:tc>
        <w:tc>
          <w:tcPr>
            <w:tcW w:w="1676" w:type="dxa"/>
          </w:tcPr>
          <w:p w14:paraId="68FC51BE" w14:textId="181EBEF1" w:rsidR="00650A74" w:rsidRDefault="000C0DAE" w:rsidP="009A29B3">
            <w:pPr>
              <w:rPr>
                <w:sz w:val="18"/>
                <w:szCs w:val="18"/>
              </w:rPr>
            </w:pPr>
            <w:proofErr w:type="spellStart"/>
            <w:r>
              <w:rPr>
                <w:sz w:val="18"/>
                <w:szCs w:val="18"/>
              </w:rPr>
              <w:t>Zsm</w:t>
            </w:r>
            <w:proofErr w:type="spellEnd"/>
          </w:p>
        </w:tc>
        <w:tc>
          <w:tcPr>
            <w:tcW w:w="2228" w:type="dxa"/>
          </w:tcPr>
          <w:p w14:paraId="32D8C4CF" w14:textId="1594E7E2" w:rsidR="00650A74" w:rsidRDefault="00650A74" w:rsidP="009A29B3">
            <w:pPr>
              <w:rPr>
                <w:sz w:val="18"/>
                <w:szCs w:val="18"/>
              </w:rPr>
            </w:pPr>
            <w:r>
              <w:rPr>
                <w:sz w:val="18"/>
                <w:szCs w:val="18"/>
              </w:rPr>
              <w:t>Verslagen van deze werkgroepen</w:t>
            </w:r>
            <w:r w:rsidR="00926437">
              <w:rPr>
                <w:sz w:val="18"/>
                <w:szCs w:val="18"/>
              </w:rPr>
              <w:t xml:space="preserve"> voorzien in deze functie</w:t>
            </w:r>
            <w:r w:rsidR="00B545B0">
              <w:rPr>
                <w:sz w:val="18"/>
                <w:szCs w:val="18"/>
              </w:rPr>
              <w:t xml:space="preserve"> totdat gestelde vragen en antwoorden gepubliceerd worden.</w:t>
            </w:r>
          </w:p>
        </w:tc>
      </w:tr>
      <w:tr w:rsidR="00395083" w:rsidRPr="00216B09" w14:paraId="528566FD" w14:textId="77777777" w:rsidTr="0063701A">
        <w:tc>
          <w:tcPr>
            <w:tcW w:w="462" w:type="dxa"/>
          </w:tcPr>
          <w:p w14:paraId="4338BDEA" w14:textId="3493DA30" w:rsidR="00395083" w:rsidRDefault="002E19BD" w:rsidP="00395083">
            <w:pPr>
              <w:rPr>
                <w:sz w:val="18"/>
                <w:szCs w:val="18"/>
              </w:rPr>
            </w:pPr>
            <w:r>
              <w:rPr>
                <w:sz w:val="18"/>
                <w:szCs w:val="18"/>
              </w:rPr>
              <w:t>6</w:t>
            </w:r>
          </w:p>
        </w:tc>
        <w:tc>
          <w:tcPr>
            <w:tcW w:w="3027" w:type="dxa"/>
          </w:tcPr>
          <w:p w14:paraId="72DA9EDC" w14:textId="7AFA7470" w:rsidR="00395083" w:rsidRDefault="00395083" w:rsidP="00395083">
            <w:pPr>
              <w:rPr>
                <w:sz w:val="18"/>
                <w:szCs w:val="18"/>
              </w:rPr>
            </w:pPr>
            <w:r w:rsidRPr="00F05B10">
              <w:rPr>
                <w:sz w:val="18"/>
                <w:szCs w:val="18"/>
              </w:rPr>
              <w:t>Spreadsheet bij verantwoordingsformulier bvov 2021</w:t>
            </w:r>
          </w:p>
        </w:tc>
        <w:tc>
          <w:tcPr>
            <w:tcW w:w="1621" w:type="dxa"/>
          </w:tcPr>
          <w:p w14:paraId="480D4A7E" w14:textId="7551EB8A" w:rsidR="00395083" w:rsidRDefault="00395083" w:rsidP="00395083">
            <w:pPr>
              <w:rPr>
                <w:sz w:val="18"/>
                <w:szCs w:val="18"/>
              </w:rPr>
            </w:pPr>
            <w:r>
              <w:rPr>
                <w:sz w:val="18"/>
                <w:szCs w:val="18"/>
              </w:rPr>
              <w:t>Rob</w:t>
            </w:r>
          </w:p>
        </w:tc>
        <w:tc>
          <w:tcPr>
            <w:tcW w:w="1676" w:type="dxa"/>
          </w:tcPr>
          <w:p w14:paraId="40EFA541" w14:textId="62C5FAE7" w:rsidR="00395083" w:rsidRDefault="00395083" w:rsidP="00395083">
            <w:pPr>
              <w:rPr>
                <w:sz w:val="18"/>
                <w:szCs w:val="18"/>
              </w:rPr>
            </w:pPr>
            <w:r>
              <w:rPr>
                <w:sz w:val="18"/>
                <w:szCs w:val="18"/>
              </w:rPr>
              <w:t>Zodra daar ruimte voor is</w:t>
            </w:r>
          </w:p>
        </w:tc>
        <w:tc>
          <w:tcPr>
            <w:tcW w:w="2228" w:type="dxa"/>
          </w:tcPr>
          <w:p w14:paraId="44A39484" w14:textId="60588784" w:rsidR="00395083" w:rsidRDefault="00446EF8" w:rsidP="00395083">
            <w:pPr>
              <w:rPr>
                <w:sz w:val="18"/>
                <w:szCs w:val="18"/>
              </w:rPr>
            </w:pPr>
            <w:r>
              <w:rPr>
                <w:sz w:val="18"/>
                <w:szCs w:val="18"/>
              </w:rPr>
              <w:t>O.a. aftoppen in geval van rendement</w:t>
            </w:r>
          </w:p>
        </w:tc>
      </w:tr>
      <w:tr w:rsidR="00395083" w:rsidRPr="00216B09" w14:paraId="41B00457" w14:textId="77777777" w:rsidTr="0063701A">
        <w:tc>
          <w:tcPr>
            <w:tcW w:w="462" w:type="dxa"/>
          </w:tcPr>
          <w:p w14:paraId="52BCF645" w14:textId="2726315D" w:rsidR="00395083" w:rsidRDefault="002E19BD" w:rsidP="00395083">
            <w:pPr>
              <w:rPr>
                <w:sz w:val="18"/>
                <w:szCs w:val="18"/>
              </w:rPr>
            </w:pPr>
            <w:r>
              <w:rPr>
                <w:sz w:val="18"/>
                <w:szCs w:val="18"/>
              </w:rPr>
              <w:t>7</w:t>
            </w:r>
          </w:p>
        </w:tc>
        <w:tc>
          <w:tcPr>
            <w:tcW w:w="3027" w:type="dxa"/>
          </w:tcPr>
          <w:p w14:paraId="36408431" w14:textId="72AEA3F8" w:rsidR="00395083" w:rsidRDefault="00395083" w:rsidP="00395083">
            <w:pPr>
              <w:rPr>
                <w:sz w:val="18"/>
                <w:szCs w:val="18"/>
              </w:rPr>
            </w:pPr>
            <w:r>
              <w:rPr>
                <w:sz w:val="18"/>
                <w:szCs w:val="18"/>
              </w:rPr>
              <w:t>Beoordelen of de slordigheid van een vervoerder en hun accountant in de verantwoording bvov 2020 procedureel geen probleempje opwerpt.</w:t>
            </w:r>
          </w:p>
        </w:tc>
        <w:tc>
          <w:tcPr>
            <w:tcW w:w="1621" w:type="dxa"/>
          </w:tcPr>
          <w:p w14:paraId="641C1E72" w14:textId="30D5681E" w:rsidR="00395083" w:rsidRDefault="00395083" w:rsidP="00395083">
            <w:pPr>
              <w:rPr>
                <w:sz w:val="18"/>
                <w:szCs w:val="18"/>
              </w:rPr>
            </w:pPr>
            <w:r>
              <w:rPr>
                <w:sz w:val="18"/>
                <w:szCs w:val="18"/>
              </w:rPr>
              <w:t>Gé</w:t>
            </w:r>
          </w:p>
        </w:tc>
        <w:tc>
          <w:tcPr>
            <w:tcW w:w="1676" w:type="dxa"/>
          </w:tcPr>
          <w:p w14:paraId="25C8E2AB" w14:textId="060806AB" w:rsidR="00395083" w:rsidRDefault="00395083" w:rsidP="00395083">
            <w:pPr>
              <w:rPr>
                <w:sz w:val="18"/>
                <w:szCs w:val="18"/>
              </w:rPr>
            </w:pPr>
            <w:r>
              <w:rPr>
                <w:sz w:val="18"/>
                <w:szCs w:val="18"/>
              </w:rPr>
              <w:t>Zodra betreffende verantwoording aan de orde is</w:t>
            </w:r>
          </w:p>
        </w:tc>
        <w:tc>
          <w:tcPr>
            <w:tcW w:w="2228" w:type="dxa"/>
          </w:tcPr>
          <w:p w14:paraId="26AC7923" w14:textId="7CF47156" w:rsidR="00395083" w:rsidRDefault="00395083" w:rsidP="00395083">
            <w:pPr>
              <w:rPr>
                <w:sz w:val="18"/>
                <w:szCs w:val="18"/>
              </w:rPr>
            </w:pPr>
            <w:r>
              <w:rPr>
                <w:sz w:val="18"/>
                <w:szCs w:val="18"/>
              </w:rPr>
              <w:t>MRDH en VRA hebben IenW geïnformeerd dat in verantwoording de specifieke Covid-19-kosten voor 100% zijn meegenomen in de berekende bvov.</w:t>
            </w:r>
          </w:p>
        </w:tc>
      </w:tr>
      <w:bookmarkEnd w:id="0"/>
    </w:tbl>
    <w:p w14:paraId="697A0C1D" w14:textId="77777777" w:rsidR="00C62FF1" w:rsidRPr="00327D43" w:rsidRDefault="00C62FF1" w:rsidP="00C62FF1"/>
    <w:p w14:paraId="0A2FB078" w14:textId="77777777" w:rsidR="00C62FF1" w:rsidRPr="00327D43" w:rsidRDefault="00C62FF1" w:rsidP="006755A2"/>
    <w:sectPr w:rsidR="00C62FF1" w:rsidRPr="00327D43" w:rsidSect="0046117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FD896" w14:textId="77777777" w:rsidR="00604D05" w:rsidRDefault="00604D05" w:rsidP="00713ED5">
      <w:r>
        <w:separator/>
      </w:r>
    </w:p>
  </w:endnote>
  <w:endnote w:type="continuationSeparator" w:id="0">
    <w:p w14:paraId="5FF2862B" w14:textId="77777777" w:rsidR="00604D05" w:rsidRDefault="00604D05" w:rsidP="0071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97CBF" w14:textId="77777777" w:rsidR="00604D05" w:rsidRDefault="00604D05" w:rsidP="00713ED5">
      <w:r>
        <w:separator/>
      </w:r>
    </w:p>
  </w:footnote>
  <w:footnote w:type="continuationSeparator" w:id="0">
    <w:p w14:paraId="631F79B1" w14:textId="77777777" w:rsidR="00604D05" w:rsidRDefault="00604D05" w:rsidP="00713E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5C26"/>
    <w:multiLevelType w:val="hybridMultilevel"/>
    <w:tmpl w:val="CF9C28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9D56DC"/>
    <w:multiLevelType w:val="multilevel"/>
    <w:tmpl w:val="F0DE0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112E4C"/>
    <w:multiLevelType w:val="hybridMultilevel"/>
    <w:tmpl w:val="A0F44AA4"/>
    <w:lvl w:ilvl="0" w:tplc="044079DE">
      <w:start w:val="3"/>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C227638"/>
    <w:multiLevelType w:val="hybridMultilevel"/>
    <w:tmpl w:val="47E8E4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2014167"/>
    <w:multiLevelType w:val="hybridMultilevel"/>
    <w:tmpl w:val="DF74005C"/>
    <w:lvl w:ilvl="0" w:tplc="04130017">
      <w:start w:val="1"/>
      <w:numFmt w:val="lowerLetter"/>
      <w:lvlText w:val="%1)"/>
      <w:lvlJc w:val="left"/>
      <w:pPr>
        <w:ind w:left="720" w:hanging="360"/>
      </w:p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6AC56FF"/>
    <w:multiLevelType w:val="hybridMultilevel"/>
    <w:tmpl w:val="45CE58E0"/>
    <w:lvl w:ilvl="0" w:tplc="3E5A6AF2">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7121445"/>
    <w:multiLevelType w:val="hybridMultilevel"/>
    <w:tmpl w:val="F318937E"/>
    <w:lvl w:ilvl="0" w:tplc="04130015">
      <w:start w:val="1"/>
      <w:numFmt w:val="upp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2C4105C3"/>
    <w:multiLevelType w:val="hybridMultilevel"/>
    <w:tmpl w:val="50CE452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C7B143E"/>
    <w:multiLevelType w:val="hybridMultilevel"/>
    <w:tmpl w:val="7F22C038"/>
    <w:lvl w:ilvl="0" w:tplc="1920513E">
      <w:start w:val="5"/>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26F0194"/>
    <w:multiLevelType w:val="hybridMultilevel"/>
    <w:tmpl w:val="905A733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5314CE5"/>
    <w:multiLevelType w:val="hybridMultilevel"/>
    <w:tmpl w:val="4032324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3D32709F"/>
    <w:multiLevelType w:val="hybridMultilevel"/>
    <w:tmpl w:val="BB7ACA0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F4D2801"/>
    <w:multiLevelType w:val="hybridMultilevel"/>
    <w:tmpl w:val="13C81C7A"/>
    <w:lvl w:ilvl="0" w:tplc="5276DF32">
      <w:start w:val="5"/>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FAA206D"/>
    <w:multiLevelType w:val="hybridMultilevel"/>
    <w:tmpl w:val="7618EA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6FB42F4"/>
    <w:multiLevelType w:val="hybridMultilevel"/>
    <w:tmpl w:val="83CE11A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5A30D6D"/>
    <w:multiLevelType w:val="hybridMultilevel"/>
    <w:tmpl w:val="2CD0A956"/>
    <w:lvl w:ilvl="0" w:tplc="1920513E">
      <w:start w:val="5"/>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6780AE3"/>
    <w:multiLevelType w:val="hybridMultilevel"/>
    <w:tmpl w:val="A2E0D9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6CE5F41"/>
    <w:multiLevelType w:val="hybridMultilevel"/>
    <w:tmpl w:val="9ED835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CA27F1F"/>
    <w:multiLevelType w:val="hybridMultilevel"/>
    <w:tmpl w:val="227AFF3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ECD35F7"/>
    <w:multiLevelType w:val="hybridMultilevel"/>
    <w:tmpl w:val="2A2664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338296F"/>
    <w:multiLevelType w:val="hybridMultilevel"/>
    <w:tmpl w:val="E2B2802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66951C5A"/>
    <w:multiLevelType w:val="hybridMultilevel"/>
    <w:tmpl w:val="9746F8B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A144D77"/>
    <w:multiLevelType w:val="hybridMultilevel"/>
    <w:tmpl w:val="358208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F7B0B4F"/>
    <w:multiLevelType w:val="hybridMultilevel"/>
    <w:tmpl w:val="9CACFF0C"/>
    <w:lvl w:ilvl="0" w:tplc="044079DE">
      <w:start w:val="3"/>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092602F"/>
    <w:multiLevelType w:val="hybridMultilevel"/>
    <w:tmpl w:val="2D764C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86A55CC"/>
    <w:multiLevelType w:val="hybridMultilevel"/>
    <w:tmpl w:val="9A4CC80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8B20E8E"/>
    <w:multiLevelType w:val="hybridMultilevel"/>
    <w:tmpl w:val="DC148CF4"/>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7AC11E7A"/>
    <w:multiLevelType w:val="hybridMultilevel"/>
    <w:tmpl w:val="DC148CF4"/>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C0D4778"/>
    <w:multiLevelType w:val="hybridMultilevel"/>
    <w:tmpl w:val="3642F80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DD829E3"/>
    <w:multiLevelType w:val="hybridMultilevel"/>
    <w:tmpl w:val="498E1D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60368022">
    <w:abstractNumId w:val="25"/>
  </w:num>
  <w:num w:numId="2" w16cid:durableId="281350935">
    <w:abstractNumId w:val="18"/>
  </w:num>
  <w:num w:numId="3" w16cid:durableId="1513647857">
    <w:abstractNumId w:val="20"/>
  </w:num>
  <w:num w:numId="4" w16cid:durableId="1147631757">
    <w:abstractNumId w:val="12"/>
  </w:num>
  <w:num w:numId="5" w16cid:durableId="230316923">
    <w:abstractNumId w:val="17"/>
  </w:num>
  <w:num w:numId="6" w16cid:durableId="2100908940">
    <w:abstractNumId w:val="27"/>
  </w:num>
  <w:num w:numId="7" w16cid:durableId="1410156793">
    <w:abstractNumId w:val="29"/>
  </w:num>
  <w:num w:numId="8" w16cid:durableId="1666468269">
    <w:abstractNumId w:val="26"/>
  </w:num>
  <w:num w:numId="9" w16cid:durableId="1531333544">
    <w:abstractNumId w:val="0"/>
  </w:num>
  <w:num w:numId="10" w16cid:durableId="94910462">
    <w:abstractNumId w:val="13"/>
  </w:num>
  <w:num w:numId="11" w16cid:durableId="267589225">
    <w:abstractNumId w:val="23"/>
  </w:num>
  <w:num w:numId="12" w16cid:durableId="1522283721">
    <w:abstractNumId w:val="2"/>
  </w:num>
  <w:num w:numId="13" w16cid:durableId="194511513">
    <w:abstractNumId w:val="6"/>
  </w:num>
  <w:num w:numId="14" w16cid:durableId="1403063274">
    <w:abstractNumId w:val="16"/>
  </w:num>
  <w:num w:numId="15" w16cid:durableId="912932540">
    <w:abstractNumId w:val="24"/>
  </w:num>
  <w:num w:numId="16" w16cid:durableId="1710257048">
    <w:abstractNumId w:val="28"/>
  </w:num>
  <w:num w:numId="17" w16cid:durableId="515729161">
    <w:abstractNumId w:val="14"/>
  </w:num>
  <w:num w:numId="18" w16cid:durableId="1518809753">
    <w:abstractNumId w:val="22"/>
  </w:num>
  <w:num w:numId="19" w16cid:durableId="1303190951">
    <w:abstractNumId w:val="1"/>
  </w:num>
  <w:num w:numId="20" w16cid:durableId="744717294">
    <w:abstractNumId w:val="11"/>
  </w:num>
  <w:num w:numId="21" w16cid:durableId="1108543655">
    <w:abstractNumId w:val="7"/>
  </w:num>
  <w:num w:numId="22" w16cid:durableId="1830125536">
    <w:abstractNumId w:val="5"/>
  </w:num>
  <w:num w:numId="23" w16cid:durableId="1867021170">
    <w:abstractNumId w:val="19"/>
  </w:num>
  <w:num w:numId="24" w16cid:durableId="783620849">
    <w:abstractNumId w:val="4"/>
  </w:num>
  <w:num w:numId="25" w16cid:durableId="2107193392">
    <w:abstractNumId w:val="21"/>
  </w:num>
  <w:num w:numId="26" w16cid:durableId="939336401">
    <w:abstractNumId w:val="3"/>
  </w:num>
  <w:num w:numId="27" w16cid:durableId="965889426">
    <w:abstractNumId w:val="15"/>
  </w:num>
  <w:num w:numId="28" w16cid:durableId="751195348">
    <w:abstractNumId w:val="8"/>
  </w:num>
  <w:num w:numId="29" w16cid:durableId="1402482743">
    <w:abstractNumId w:val="10"/>
  </w:num>
  <w:num w:numId="30" w16cid:durableId="1650999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B3A"/>
    <w:rsid w:val="000269F8"/>
    <w:rsid w:val="00027470"/>
    <w:rsid w:val="00031EBB"/>
    <w:rsid w:val="00031FB1"/>
    <w:rsid w:val="0003747E"/>
    <w:rsid w:val="00044057"/>
    <w:rsid w:val="00071141"/>
    <w:rsid w:val="00077878"/>
    <w:rsid w:val="000848F9"/>
    <w:rsid w:val="00087710"/>
    <w:rsid w:val="0009081B"/>
    <w:rsid w:val="00096E79"/>
    <w:rsid w:val="000A5486"/>
    <w:rsid w:val="000A5ED9"/>
    <w:rsid w:val="000B3416"/>
    <w:rsid w:val="000B72A1"/>
    <w:rsid w:val="000B7584"/>
    <w:rsid w:val="000C0DAE"/>
    <w:rsid w:val="000C20B6"/>
    <w:rsid w:val="000C29B0"/>
    <w:rsid w:val="000C2E64"/>
    <w:rsid w:val="000C2F69"/>
    <w:rsid w:val="000C58BF"/>
    <w:rsid w:val="000C59B6"/>
    <w:rsid w:val="000D1B1A"/>
    <w:rsid w:val="000D45EE"/>
    <w:rsid w:val="000E255D"/>
    <w:rsid w:val="000F28B0"/>
    <w:rsid w:val="000F7D97"/>
    <w:rsid w:val="00113CC0"/>
    <w:rsid w:val="001168FA"/>
    <w:rsid w:val="00124E3B"/>
    <w:rsid w:val="00131BA9"/>
    <w:rsid w:val="00133C35"/>
    <w:rsid w:val="00137FD2"/>
    <w:rsid w:val="0014537D"/>
    <w:rsid w:val="00145C34"/>
    <w:rsid w:val="001472CB"/>
    <w:rsid w:val="00150DB6"/>
    <w:rsid w:val="0015597A"/>
    <w:rsid w:val="00157B9C"/>
    <w:rsid w:val="001622DA"/>
    <w:rsid w:val="00162C59"/>
    <w:rsid w:val="001663F1"/>
    <w:rsid w:val="00167C2A"/>
    <w:rsid w:val="00170279"/>
    <w:rsid w:val="001744D7"/>
    <w:rsid w:val="00176869"/>
    <w:rsid w:val="00176F7C"/>
    <w:rsid w:val="001770A4"/>
    <w:rsid w:val="0018074D"/>
    <w:rsid w:val="0019317B"/>
    <w:rsid w:val="00197314"/>
    <w:rsid w:val="001A3BF5"/>
    <w:rsid w:val="001A6BE9"/>
    <w:rsid w:val="001B50B7"/>
    <w:rsid w:val="001C3A0F"/>
    <w:rsid w:val="001C4D73"/>
    <w:rsid w:val="001D482E"/>
    <w:rsid w:val="001D4A9B"/>
    <w:rsid w:val="001E0555"/>
    <w:rsid w:val="001F0C34"/>
    <w:rsid w:val="001F46D0"/>
    <w:rsid w:val="001F46E7"/>
    <w:rsid w:val="001F7045"/>
    <w:rsid w:val="00212564"/>
    <w:rsid w:val="0021290C"/>
    <w:rsid w:val="0021583E"/>
    <w:rsid w:val="00227434"/>
    <w:rsid w:val="00233FD0"/>
    <w:rsid w:val="002444A9"/>
    <w:rsid w:val="0024531F"/>
    <w:rsid w:val="00256A2D"/>
    <w:rsid w:val="00262F75"/>
    <w:rsid w:val="002742E0"/>
    <w:rsid w:val="002753C6"/>
    <w:rsid w:val="002814E2"/>
    <w:rsid w:val="00287CE8"/>
    <w:rsid w:val="00291A32"/>
    <w:rsid w:val="00294491"/>
    <w:rsid w:val="002A01AA"/>
    <w:rsid w:val="002A4608"/>
    <w:rsid w:val="002A6B4D"/>
    <w:rsid w:val="002B0DE4"/>
    <w:rsid w:val="002B1B3C"/>
    <w:rsid w:val="002B1F32"/>
    <w:rsid w:val="002B6331"/>
    <w:rsid w:val="002B7856"/>
    <w:rsid w:val="002C34B7"/>
    <w:rsid w:val="002C4450"/>
    <w:rsid w:val="002C452A"/>
    <w:rsid w:val="002C6A21"/>
    <w:rsid w:val="002C70EC"/>
    <w:rsid w:val="002D0746"/>
    <w:rsid w:val="002D147C"/>
    <w:rsid w:val="002D29B0"/>
    <w:rsid w:val="002D540C"/>
    <w:rsid w:val="002E0162"/>
    <w:rsid w:val="002E1403"/>
    <w:rsid w:val="002E19BD"/>
    <w:rsid w:val="002E5217"/>
    <w:rsid w:val="002E5AF6"/>
    <w:rsid w:val="00301BD7"/>
    <w:rsid w:val="00301DE6"/>
    <w:rsid w:val="003021B8"/>
    <w:rsid w:val="00305D49"/>
    <w:rsid w:val="00311532"/>
    <w:rsid w:val="00312E14"/>
    <w:rsid w:val="00313562"/>
    <w:rsid w:val="00325151"/>
    <w:rsid w:val="003262EF"/>
    <w:rsid w:val="00327D43"/>
    <w:rsid w:val="00350C2A"/>
    <w:rsid w:val="0035155B"/>
    <w:rsid w:val="003518A0"/>
    <w:rsid w:val="0035457B"/>
    <w:rsid w:val="003602FE"/>
    <w:rsid w:val="00361791"/>
    <w:rsid w:val="00370474"/>
    <w:rsid w:val="00373F04"/>
    <w:rsid w:val="003741CA"/>
    <w:rsid w:val="00382937"/>
    <w:rsid w:val="00384CFF"/>
    <w:rsid w:val="00386B17"/>
    <w:rsid w:val="00386CF9"/>
    <w:rsid w:val="0039053E"/>
    <w:rsid w:val="00395083"/>
    <w:rsid w:val="00395F10"/>
    <w:rsid w:val="00395FB7"/>
    <w:rsid w:val="003A0B82"/>
    <w:rsid w:val="003B24E7"/>
    <w:rsid w:val="003B4E4D"/>
    <w:rsid w:val="003C10B9"/>
    <w:rsid w:val="003C2016"/>
    <w:rsid w:val="003C460B"/>
    <w:rsid w:val="003C48FD"/>
    <w:rsid w:val="003D1AAB"/>
    <w:rsid w:val="003D2585"/>
    <w:rsid w:val="003D3126"/>
    <w:rsid w:val="003E02D6"/>
    <w:rsid w:val="003E0F63"/>
    <w:rsid w:val="003E12E1"/>
    <w:rsid w:val="003F118C"/>
    <w:rsid w:val="003F139B"/>
    <w:rsid w:val="003F4982"/>
    <w:rsid w:val="0040137F"/>
    <w:rsid w:val="00407962"/>
    <w:rsid w:val="00410DD3"/>
    <w:rsid w:val="004156AC"/>
    <w:rsid w:val="0041634F"/>
    <w:rsid w:val="00416B94"/>
    <w:rsid w:val="00420D41"/>
    <w:rsid w:val="00431B1D"/>
    <w:rsid w:val="00435C20"/>
    <w:rsid w:val="00435DAE"/>
    <w:rsid w:val="004423D2"/>
    <w:rsid w:val="00446EF8"/>
    <w:rsid w:val="00447296"/>
    <w:rsid w:val="00453C5D"/>
    <w:rsid w:val="00461177"/>
    <w:rsid w:val="004656B0"/>
    <w:rsid w:val="0047346A"/>
    <w:rsid w:val="004770B2"/>
    <w:rsid w:val="004773C9"/>
    <w:rsid w:val="00480548"/>
    <w:rsid w:val="0049051B"/>
    <w:rsid w:val="00492839"/>
    <w:rsid w:val="004964E1"/>
    <w:rsid w:val="00496CE4"/>
    <w:rsid w:val="0049792F"/>
    <w:rsid w:val="004A7479"/>
    <w:rsid w:val="004B3F6A"/>
    <w:rsid w:val="004B4867"/>
    <w:rsid w:val="004B718C"/>
    <w:rsid w:val="004C0BCC"/>
    <w:rsid w:val="004D3C88"/>
    <w:rsid w:val="004F2AC2"/>
    <w:rsid w:val="005024C0"/>
    <w:rsid w:val="0050332D"/>
    <w:rsid w:val="00507F44"/>
    <w:rsid w:val="00511FF7"/>
    <w:rsid w:val="005121A9"/>
    <w:rsid w:val="00517012"/>
    <w:rsid w:val="00517245"/>
    <w:rsid w:val="00517A63"/>
    <w:rsid w:val="005266F7"/>
    <w:rsid w:val="00530C40"/>
    <w:rsid w:val="00535F87"/>
    <w:rsid w:val="0054567C"/>
    <w:rsid w:val="00547AE6"/>
    <w:rsid w:val="0055386C"/>
    <w:rsid w:val="0055776E"/>
    <w:rsid w:val="00560407"/>
    <w:rsid w:val="00566BCC"/>
    <w:rsid w:val="00566D8F"/>
    <w:rsid w:val="005735FD"/>
    <w:rsid w:val="00575BDD"/>
    <w:rsid w:val="0057757A"/>
    <w:rsid w:val="005A092E"/>
    <w:rsid w:val="005A21E1"/>
    <w:rsid w:val="005A5613"/>
    <w:rsid w:val="005A7379"/>
    <w:rsid w:val="005B116A"/>
    <w:rsid w:val="005B4E87"/>
    <w:rsid w:val="005B628F"/>
    <w:rsid w:val="005C4F17"/>
    <w:rsid w:val="005E17B7"/>
    <w:rsid w:val="005E5D10"/>
    <w:rsid w:val="005F1F5C"/>
    <w:rsid w:val="00604D05"/>
    <w:rsid w:val="00611661"/>
    <w:rsid w:val="00613D1D"/>
    <w:rsid w:val="00613F83"/>
    <w:rsid w:val="00616995"/>
    <w:rsid w:val="00616E06"/>
    <w:rsid w:val="00620DC2"/>
    <w:rsid w:val="00621F2F"/>
    <w:rsid w:val="00625A3C"/>
    <w:rsid w:val="00626788"/>
    <w:rsid w:val="0063701A"/>
    <w:rsid w:val="00645FD6"/>
    <w:rsid w:val="00646CA5"/>
    <w:rsid w:val="00647CC9"/>
    <w:rsid w:val="00650A74"/>
    <w:rsid w:val="00654EAD"/>
    <w:rsid w:val="0065748F"/>
    <w:rsid w:val="00671394"/>
    <w:rsid w:val="006755A2"/>
    <w:rsid w:val="00687B58"/>
    <w:rsid w:val="006913BB"/>
    <w:rsid w:val="00692A41"/>
    <w:rsid w:val="0069316E"/>
    <w:rsid w:val="00693CFA"/>
    <w:rsid w:val="006A16B8"/>
    <w:rsid w:val="006A315A"/>
    <w:rsid w:val="006A38F9"/>
    <w:rsid w:val="006A5CE5"/>
    <w:rsid w:val="006B2648"/>
    <w:rsid w:val="006C1CD7"/>
    <w:rsid w:val="006C299B"/>
    <w:rsid w:val="006D2467"/>
    <w:rsid w:val="006D51B2"/>
    <w:rsid w:val="006D54F0"/>
    <w:rsid w:val="006D6CE9"/>
    <w:rsid w:val="006E5FDD"/>
    <w:rsid w:val="006E6232"/>
    <w:rsid w:val="006F069F"/>
    <w:rsid w:val="006F22A2"/>
    <w:rsid w:val="006F4D9E"/>
    <w:rsid w:val="00700446"/>
    <w:rsid w:val="00702DF3"/>
    <w:rsid w:val="00703609"/>
    <w:rsid w:val="00712CDD"/>
    <w:rsid w:val="00713ED5"/>
    <w:rsid w:val="007201DA"/>
    <w:rsid w:val="007218B6"/>
    <w:rsid w:val="007240E2"/>
    <w:rsid w:val="00724D5A"/>
    <w:rsid w:val="00724DC9"/>
    <w:rsid w:val="007324DC"/>
    <w:rsid w:val="00734301"/>
    <w:rsid w:val="007349A6"/>
    <w:rsid w:val="00736D62"/>
    <w:rsid w:val="00740F2A"/>
    <w:rsid w:val="00741210"/>
    <w:rsid w:val="007418C4"/>
    <w:rsid w:val="0074197D"/>
    <w:rsid w:val="00742871"/>
    <w:rsid w:val="007509DA"/>
    <w:rsid w:val="00770188"/>
    <w:rsid w:val="007922D1"/>
    <w:rsid w:val="007922F7"/>
    <w:rsid w:val="007924A8"/>
    <w:rsid w:val="00793B50"/>
    <w:rsid w:val="00795E39"/>
    <w:rsid w:val="00796A57"/>
    <w:rsid w:val="007A14A3"/>
    <w:rsid w:val="007A3085"/>
    <w:rsid w:val="007B3119"/>
    <w:rsid w:val="007B666A"/>
    <w:rsid w:val="007C1D07"/>
    <w:rsid w:val="007D2274"/>
    <w:rsid w:val="007D2EAE"/>
    <w:rsid w:val="007D34E6"/>
    <w:rsid w:val="007D4EA4"/>
    <w:rsid w:val="007E3E37"/>
    <w:rsid w:val="007E5D52"/>
    <w:rsid w:val="00801592"/>
    <w:rsid w:val="00804F77"/>
    <w:rsid w:val="00805823"/>
    <w:rsid w:val="00806022"/>
    <w:rsid w:val="00806805"/>
    <w:rsid w:val="00824B80"/>
    <w:rsid w:val="00825AD2"/>
    <w:rsid w:val="008469B7"/>
    <w:rsid w:val="00856E51"/>
    <w:rsid w:val="00861804"/>
    <w:rsid w:val="008637C1"/>
    <w:rsid w:val="0087067C"/>
    <w:rsid w:val="00870C36"/>
    <w:rsid w:val="00877663"/>
    <w:rsid w:val="00881BC2"/>
    <w:rsid w:val="00884AD7"/>
    <w:rsid w:val="008877E2"/>
    <w:rsid w:val="008A52C6"/>
    <w:rsid w:val="008A55D8"/>
    <w:rsid w:val="008D091D"/>
    <w:rsid w:val="008D6541"/>
    <w:rsid w:val="008E3158"/>
    <w:rsid w:val="008E4F04"/>
    <w:rsid w:val="008E56A9"/>
    <w:rsid w:val="008E6CC1"/>
    <w:rsid w:val="008E702B"/>
    <w:rsid w:val="008F030C"/>
    <w:rsid w:val="008F1C01"/>
    <w:rsid w:val="008F2954"/>
    <w:rsid w:val="008F7B8E"/>
    <w:rsid w:val="008F7FB9"/>
    <w:rsid w:val="00900904"/>
    <w:rsid w:val="00904C77"/>
    <w:rsid w:val="00905673"/>
    <w:rsid w:val="009204BE"/>
    <w:rsid w:val="00920D6A"/>
    <w:rsid w:val="00926437"/>
    <w:rsid w:val="00933B6F"/>
    <w:rsid w:val="00933EA8"/>
    <w:rsid w:val="0094077C"/>
    <w:rsid w:val="00954A11"/>
    <w:rsid w:val="00961ABC"/>
    <w:rsid w:val="009633F7"/>
    <w:rsid w:val="009660F7"/>
    <w:rsid w:val="0097362F"/>
    <w:rsid w:val="00984B90"/>
    <w:rsid w:val="009939DB"/>
    <w:rsid w:val="009A29B3"/>
    <w:rsid w:val="009B1C2C"/>
    <w:rsid w:val="009B3E89"/>
    <w:rsid w:val="009B6014"/>
    <w:rsid w:val="009C34B3"/>
    <w:rsid w:val="009C358A"/>
    <w:rsid w:val="009C5538"/>
    <w:rsid w:val="009D21E2"/>
    <w:rsid w:val="009E2A07"/>
    <w:rsid w:val="009E6D9B"/>
    <w:rsid w:val="009F2FB0"/>
    <w:rsid w:val="009F401B"/>
    <w:rsid w:val="00A021DB"/>
    <w:rsid w:val="00A02D85"/>
    <w:rsid w:val="00A02DCA"/>
    <w:rsid w:val="00A045ED"/>
    <w:rsid w:val="00A0512A"/>
    <w:rsid w:val="00A055D9"/>
    <w:rsid w:val="00A11279"/>
    <w:rsid w:val="00A122B6"/>
    <w:rsid w:val="00A127F0"/>
    <w:rsid w:val="00A13305"/>
    <w:rsid w:val="00A25038"/>
    <w:rsid w:val="00A262C1"/>
    <w:rsid w:val="00A2778C"/>
    <w:rsid w:val="00A30012"/>
    <w:rsid w:val="00A31006"/>
    <w:rsid w:val="00A33F5D"/>
    <w:rsid w:val="00A37AF6"/>
    <w:rsid w:val="00A47520"/>
    <w:rsid w:val="00A502FD"/>
    <w:rsid w:val="00A50E9C"/>
    <w:rsid w:val="00A51100"/>
    <w:rsid w:val="00A53FE6"/>
    <w:rsid w:val="00A561FA"/>
    <w:rsid w:val="00A5666B"/>
    <w:rsid w:val="00A56B40"/>
    <w:rsid w:val="00A700EC"/>
    <w:rsid w:val="00A74722"/>
    <w:rsid w:val="00A81EDA"/>
    <w:rsid w:val="00AA199D"/>
    <w:rsid w:val="00AB1BAF"/>
    <w:rsid w:val="00AB20FB"/>
    <w:rsid w:val="00AB41B5"/>
    <w:rsid w:val="00AB57E7"/>
    <w:rsid w:val="00AC0052"/>
    <w:rsid w:val="00AD1258"/>
    <w:rsid w:val="00AD54BD"/>
    <w:rsid w:val="00AE2683"/>
    <w:rsid w:val="00AF214F"/>
    <w:rsid w:val="00AF280E"/>
    <w:rsid w:val="00AF3B9E"/>
    <w:rsid w:val="00AF5C6F"/>
    <w:rsid w:val="00B00052"/>
    <w:rsid w:val="00B00FFA"/>
    <w:rsid w:val="00B01834"/>
    <w:rsid w:val="00B113F8"/>
    <w:rsid w:val="00B13DA5"/>
    <w:rsid w:val="00B1480B"/>
    <w:rsid w:val="00B200FC"/>
    <w:rsid w:val="00B208B2"/>
    <w:rsid w:val="00B3219E"/>
    <w:rsid w:val="00B515A8"/>
    <w:rsid w:val="00B52272"/>
    <w:rsid w:val="00B545B0"/>
    <w:rsid w:val="00B5518A"/>
    <w:rsid w:val="00B6144B"/>
    <w:rsid w:val="00B6158D"/>
    <w:rsid w:val="00B624EF"/>
    <w:rsid w:val="00B62B0F"/>
    <w:rsid w:val="00B62BD4"/>
    <w:rsid w:val="00B70134"/>
    <w:rsid w:val="00B724ED"/>
    <w:rsid w:val="00B77A6D"/>
    <w:rsid w:val="00B83074"/>
    <w:rsid w:val="00B84455"/>
    <w:rsid w:val="00B926FB"/>
    <w:rsid w:val="00B92B3A"/>
    <w:rsid w:val="00B94BF0"/>
    <w:rsid w:val="00B95B0B"/>
    <w:rsid w:val="00B972FC"/>
    <w:rsid w:val="00BA35FA"/>
    <w:rsid w:val="00BB2119"/>
    <w:rsid w:val="00BB42C9"/>
    <w:rsid w:val="00BB4561"/>
    <w:rsid w:val="00BB4B33"/>
    <w:rsid w:val="00BD0029"/>
    <w:rsid w:val="00BD2502"/>
    <w:rsid w:val="00BD3E2D"/>
    <w:rsid w:val="00BD440B"/>
    <w:rsid w:val="00BD7BB7"/>
    <w:rsid w:val="00BE2111"/>
    <w:rsid w:val="00BE221F"/>
    <w:rsid w:val="00BE6D20"/>
    <w:rsid w:val="00BF7540"/>
    <w:rsid w:val="00C016A2"/>
    <w:rsid w:val="00C07540"/>
    <w:rsid w:val="00C13BA0"/>
    <w:rsid w:val="00C161B5"/>
    <w:rsid w:val="00C1792A"/>
    <w:rsid w:val="00C20D62"/>
    <w:rsid w:val="00C22A19"/>
    <w:rsid w:val="00C22FDF"/>
    <w:rsid w:val="00C24DA0"/>
    <w:rsid w:val="00C2750E"/>
    <w:rsid w:val="00C27B64"/>
    <w:rsid w:val="00C30EE2"/>
    <w:rsid w:val="00C36D03"/>
    <w:rsid w:val="00C40308"/>
    <w:rsid w:val="00C422FA"/>
    <w:rsid w:val="00C603EE"/>
    <w:rsid w:val="00C60E5D"/>
    <w:rsid w:val="00C62FF1"/>
    <w:rsid w:val="00C645F9"/>
    <w:rsid w:val="00C655F6"/>
    <w:rsid w:val="00C70772"/>
    <w:rsid w:val="00C711AB"/>
    <w:rsid w:val="00C71AA4"/>
    <w:rsid w:val="00C71CB6"/>
    <w:rsid w:val="00C72736"/>
    <w:rsid w:val="00C747DA"/>
    <w:rsid w:val="00C75281"/>
    <w:rsid w:val="00C7576D"/>
    <w:rsid w:val="00C7694D"/>
    <w:rsid w:val="00C776A2"/>
    <w:rsid w:val="00C858D2"/>
    <w:rsid w:val="00C85AAA"/>
    <w:rsid w:val="00C87865"/>
    <w:rsid w:val="00C905CB"/>
    <w:rsid w:val="00C95AF8"/>
    <w:rsid w:val="00CA0CAD"/>
    <w:rsid w:val="00CA2845"/>
    <w:rsid w:val="00CA61B3"/>
    <w:rsid w:val="00CB1368"/>
    <w:rsid w:val="00CB2171"/>
    <w:rsid w:val="00CC635B"/>
    <w:rsid w:val="00CD0281"/>
    <w:rsid w:val="00CD7594"/>
    <w:rsid w:val="00CD7CB6"/>
    <w:rsid w:val="00CF0669"/>
    <w:rsid w:val="00CF1794"/>
    <w:rsid w:val="00D15BB2"/>
    <w:rsid w:val="00D15DCC"/>
    <w:rsid w:val="00D21A4D"/>
    <w:rsid w:val="00D30662"/>
    <w:rsid w:val="00D31877"/>
    <w:rsid w:val="00D33661"/>
    <w:rsid w:val="00D340A8"/>
    <w:rsid w:val="00D35572"/>
    <w:rsid w:val="00D45CB4"/>
    <w:rsid w:val="00D45E65"/>
    <w:rsid w:val="00D5074E"/>
    <w:rsid w:val="00D51BBD"/>
    <w:rsid w:val="00D6072E"/>
    <w:rsid w:val="00D757B5"/>
    <w:rsid w:val="00D90A6A"/>
    <w:rsid w:val="00D9302E"/>
    <w:rsid w:val="00DA0192"/>
    <w:rsid w:val="00DA0E83"/>
    <w:rsid w:val="00DB78F2"/>
    <w:rsid w:val="00DC0927"/>
    <w:rsid w:val="00DC0C78"/>
    <w:rsid w:val="00DC5D85"/>
    <w:rsid w:val="00DC66CE"/>
    <w:rsid w:val="00DD0555"/>
    <w:rsid w:val="00DD0EDB"/>
    <w:rsid w:val="00DF15A0"/>
    <w:rsid w:val="00DF3615"/>
    <w:rsid w:val="00DF5BAA"/>
    <w:rsid w:val="00E04B73"/>
    <w:rsid w:val="00E1169F"/>
    <w:rsid w:val="00E12277"/>
    <w:rsid w:val="00E17522"/>
    <w:rsid w:val="00E178DB"/>
    <w:rsid w:val="00E27416"/>
    <w:rsid w:val="00E31E3F"/>
    <w:rsid w:val="00E33783"/>
    <w:rsid w:val="00E33A57"/>
    <w:rsid w:val="00E35B52"/>
    <w:rsid w:val="00E43070"/>
    <w:rsid w:val="00E4679C"/>
    <w:rsid w:val="00E606A0"/>
    <w:rsid w:val="00E62FBF"/>
    <w:rsid w:val="00E6566B"/>
    <w:rsid w:val="00E669E1"/>
    <w:rsid w:val="00E83675"/>
    <w:rsid w:val="00E8441A"/>
    <w:rsid w:val="00E87DB1"/>
    <w:rsid w:val="00E95B28"/>
    <w:rsid w:val="00EA0620"/>
    <w:rsid w:val="00EA7BD4"/>
    <w:rsid w:val="00EB24C0"/>
    <w:rsid w:val="00EB2807"/>
    <w:rsid w:val="00EC1FD0"/>
    <w:rsid w:val="00EC2434"/>
    <w:rsid w:val="00EC5BED"/>
    <w:rsid w:val="00EC671B"/>
    <w:rsid w:val="00EE09BE"/>
    <w:rsid w:val="00EE113E"/>
    <w:rsid w:val="00EE1312"/>
    <w:rsid w:val="00EE45F8"/>
    <w:rsid w:val="00EF0B2A"/>
    <w:rsid w:val="00EF13B4"/>
    <w:rsid w:val="00EF38FD"/>
    <w:rsid w:val="00EF576D"/>
    <w:rsid w:val="00F01A69"/>
    <w:rsid w:val="00F01CFB"/>
    <w:rsid w:val="00F05B10"/>
    <w:rsid w:val="00F07F9C"/>
    <w:rsid w:val="00F10505"/>
    <w:rsid w:val="00F12587"/>
    <w:rsid w:val="00F159F1"/>
    <w:rsid w:val="00F1705C"/>
    <w:rsid w:val="00F316F4"/>
    <w:rsid w:val="00F318A5"/>
    <w:rsid w:val="00F354C4"/>
    <w:rsid w:val="00F43A87"/>
    <w:rsid w:val="00F45646"/>
    <w:rsid w:val="00F4645A"/>
    <w:rsid w:val="00F46E07"/>
    <w:rsid w:val="00F51AE9"/>
    <w:rsid w:val="00F52470"/>
    <w:rsid w:val="00F56A87"/>
    <w:rsid w:val="00F60860"/>
    <w:rsid w:val="00F61585"/>
    <w:rsid w:val="00F6224B"/>
    <w:rsid w:val="00F64E5B"/>
    <w:rsid w:val="00F752AB"/>
    <w:rsid w:val="00F756CC"/>
    <w:rsid w:val="00F8404C"/>
    <w:rsid w:val="00F84E0B"/>
    <w:rsid w:val="00F8624A"/>
    <w:rsid w:val="00F86D2D"/>
    <w:rsid w:val="00F8792E"/>
    <w:rsid w:val="00F91F93"/>
    <w:rsid w:val="00FA2592"/>
    <w:rsid w:val="00FB3543"/>
    <w:rsid w:val="00FB58C2"/>
    <w:rsid w:val="00FC0A33"/>
    <w:rsid w:val="00FC16ED"/>
    <w:rsid w:val="00FC7C1D"/>
    <w:rsid w:val="00FD383D"/>
    <w:rsid w:val="00FD59DE"/>
    <w:rsid w:val="00FD7647"/>
    <w:rsid w:val="00FE3BEA"/>
    <w:rsid w:val="00FE6131"/>
    <w:rsid w:val="00FE6E2D"/>
    <w:rsid w:val="00FF4792"/>
    <w:rsid w:val="00FF4887"/>
    <w:rsid w:val="00FF6B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6A81"/>
  <w15:chartTrackingRefBased/>
  <w15:docId w15:val="{7A2BB254-F052-E941-B0AC-B413A1ACA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D33661"/>
    <w:rPr>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92B3A"/>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B92B3A"/>
    <w:rPr>
      <w:rFonts w:ascii="Times New Roman" w:hAnsi="Times New Roman" w:cs="Times New Roman"/>
      <w:sz w:val="18"/>
      <w:szCs w:val="18"/>
    </w:rPr>
  </w:style>
  <w:style w:type="character" w:styleId="Verwijzingopmerking">
    <w:name w:val="annotation reference"/>
    <w:basedOn w:val="Standaardalinea-lettertype"/>
    <w:uiPriority w:val="99"/>
    <w:semiHidden/>
    <w:unhideWhenUsed/>
    <w:rsid w:val="00B92B3A"/>
    <w:rPr>
      <w:sz w:val="16"/>
      <w:szCs w:val="16"/>
    </w:rPr>
  </w:style>
  <w:style w:type="paragraph" w:styleId="Tekstopmerking">
    <w:name w:val="annotation text"/>
    <w:basedOn w:val="Standaard"/>
    <w:link w:val="TekstopmerkingChar"/>
    <w:uiPriority w:val="99"/>
    <w:semiHidden/>
    <w:unhideWhenUsed/>
    <w:rsid w:val="00B92B3A"/>
    <w:rPr>
      <w:sz w:val="20"/>
      <w:szCs w:val="20"/>
    </w:rPr>
  </w:style>
  <w:style w:type="character" w:customStyle="1" w:styleId="TekstopmerkingChar">
    <w:name w:val="Tekst opmerking Char"/>
    <w:basedOn w:val="Standaardalinea-lettertype"/>
    <w:link w:val="Tekstopmerking"/>
    <w:uiPriority w:val="99"/>
    <w:semiHidden/>
    <w:rsid w:val="00B92B3A"/>
    <w:rPr>
      <w:sz w:val="20"/>
      <w:szCs w:val="20"/>
    </w:rPr>
  </w:style>
  <w:style w:type="paragraph" w:styleId="Lijstalinea">
    <w:name w:val="List Paragraph"/>
    <w:basedOn w:val="Standaard"/>
    <w:uiPriority w:val="34"/>
    <w:qFormat/>
    <w:rsid w:val="005735FD"/>
    <w:pPr>
      <w:ind w:left="720"/>
      <w:contextualSpacing/>
    </w:pPr>
  </w:style>
  <w:style w:type="table" w:styleId="Tabelraster">
    <w:name w:val="Table Grid"/>
    <w:basedOn w:val="Standaardtabel"/>
    <w:uiPriority w:val="39"/>
    <w:rsid w:val="00C62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semiHidden/>
    <w:unhideWhenUsed/>
    <w:rsid w:val="00713ED5"/>
    <w:rPr>
      <w:sz w:val="20"/>
      <w:szCs w:val="20"/>
    </w:rPr>
  </w:style>
  <w:style w:type="character" w:customStyle="1" w:styleId="VoetnoottekstChar">
    <w:name w:val="Voetnoottekst Char"/>
    <w:basedOn w:val="Standaardalinea-lettertype"/>
    <w:link w:val="Voetnoottekst"/>
    <w:uiPriority w:val="99"/>
    <w:semiHidden/>
    <w:rsid w:val="00713ED5"/>
    <w:rPr>
      <w:sz w:val="20"/>
      <w:szCs w:val="20"/>
    </w:rPr>
  </w:style>
  <w:style w:type="character" w:styleId="Voetnootmarkering">
    <w:name w:val="footnote reference"/>
    <w:basedOn w:val="Standaardalinea-lettertype"/>
    <w:uiPriority w:val="99"/>
    <w:semiHidden/>
    <w:unhideWhenUsed/>
    <w:rsid w:val="00713ED5"/>
    <w:rPr>
      <w:vertAlign w:val="superscript"/>
    </w:rPr>
  </w:style>
  <w:style w:type="character" w:styleId="Hyperlink">
    <w:name w:val="Hyperlink"/>
    <w:basedOn w:val="Standaardalinea-lettertype"/>
    <w:uiPriority w:val="99"/>
    <w:unhideWhenUsed/>
    <w:rsid w:val="00410DD3"/>
    <w:rPr>
      <w:color w:val="0563C1" w:themeColor="hyperlink"/>
      <w:u w:val="single"/>
    </w:rPr>
  </w:style>
  <w:style w:type="character" w:styleId="Onopgelostemelding">
    <w:name w:val="Unresolved Mention"/>
    <w:basedOn w:val="Standaardalinea-lettertype"/>
    <w:uiPriority w:val="99"/>
    <w:rsid w:val="00410DD3"/>
    <w:rPr>
      <w:color w:val="605E5C"/>
      <w:shd w:val="clear" w:color="auto" w:fill="E1DFDD"/>
    </w:rPr>
  </w:style>
  <w:style w:type="paragraph" w:styleId="Revisie">
    <w:name w:val="Revision"/>
    <w:hidden/>
    <w:uiPriority w:val="99"/>
    <w:semiHidden/>
    <w:rsid w:val="00861804"/>
    <w:rPr>
      <w:sz w:val="22"/>
    </w:rPr>
  </w:style>
  <w:style w:type="paragraph" w:styleId="Onderwerpvanopmerking">
    <w:name w:val="annotation subject"/>
    <w:basedOn w:val="Tekstopmerking"/>
    <w:next w:val="Tekstopmerking"/>
    <w:link w:val="OnderwerpvanopmerkingChar"/>
    <w:uiPriority w:val="99"/>
    <w:semiHidden/>
    <w:unhideWhenUsed/>
    <w:rsid w:val="00E62FBF"/>
    <w:rPr>
      <w:b/>
      <w:bCs/>
    </w:rPr>
  </w:style>
  <w:style w:type="character" w:customStyle="1" w:styleId="OnderwerpvanopmerkingChar">
    <w:name w:val="Onderwerp van opmerking Char"/>
    <w:basedOn w:val="TekstopmerkingChar"/>
    <w:link w:val="Onderwerpvanopmerking"/>
    <w:uiPriority w:val="99"/>
    <w:semiHidden/>
    <w:rsid w:val="00E62FBF"/>
    <w:rPr>
      <w:b/>
      <w:bCs/>
      <w:sz w:val="20"/>
      <w:szCs w:val="20"/>
    </w:rPr>
  </w:style>
  <w:style w:type="character" w:styleId="Tekstvantijdelijkeaanduiding">
    <w:name w:val="Placeholder Text"/>
    <w:basedOn w:val="Standaardalinea-lettertype"/>
    <w:uiPriority w:val="99"/>
    <w:semiHidden/>
    <w:rsid w:val="0051701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763075">
      <w:bodyDiv w:val="1"/>
      <w:marLeft w:val="0"/>
      <w:marRight w:val="0"/>
      <w:marTop w:val="0"/>
      <w:marBottom w:val="0"/>
      <w:divBdr>
        <w:top w:val="none" w:sz="0" w:space="0" w:color="auto"/>
        <w:left w:val="none" w:sz="0" w:space="0" w:color="auto"/>
        <w:bottom w:val="none" w:sz="0" w:space="0" w:color="auto"/>
        <w:right w:val="none" w:sz="0" w:space="0" w:color="auto"/>
      </w:divBdr>
    </w:div>
    <w:div w:id="1694763303">
      <w:bodyDiv w:val="1"/>
      <w:marLeft w:val="0"/>
      <w:marRight w:val="0"/>
      <w:marTop w:val="0"/>
      <w:marBottom w:val="0"/>
      <w:divBdr>
        <w:top w:val="none" w:sz="0" w:space="0" w:color="auto"/>
        <w:left w:val="none" w:sz="0" w:space="0" w:color="auto"/>
        <w:bottom w:val="none" w:sz="0" w:space="0" w:color="auto"/>
        <w:right w:val="none" w:sz="0" w:space="0" w:color="auto"/>
      </w:divBdr>
    </w:div>
    <w:div w:id="2037074943">
      <w:bodyDiv w:val="1"/>
      <w:marLeft w:val="0"/>
      <w:marRight w:val="0"/>
      <w:marTop w:val="0"/>
      <w:marBottom w:val="0"/>
      <w:divBdr>
        <w:top w:val="none" w:sz="0" w:space="0" w:color="auto"/>
        <w:left w:val="none" w:sz="0" w:space="0" w:color="auto"/>
        <w:bottom w:val="none" w:sz="0" w:space="0" w:color="auto"/>
        <w:right w:val="none" w:sz="0" w:space="0" w:color="auto"/>
      </w:divBdr>
    </w:div>
    <w:div w:id="2040088328">
      <w:bodyDiv w:val="1"/>
      <w:marLeft w:val="0"/>
      <w:marRight w:val="0"/>
      <w:marTop w:val="0"/>
      <w:marBottom w:val="0"/>
      <w:divBdr>
        <w:top w:val="none" w:sz="0" w:space="0" w:color="auto"/>
        <w:left w:val="none" w:sz="0" w:space="0" w:color="auto"/>
        <w:bottom w:val="none" w:sz="0" w:space="0" w:color="auto"/>
        <w:right w:val="none" w:sz="0" w:space="0" w:color="auto"/>
      </w:divBdr>
    </w:div>
    <w:div w:id="2134782151">
      <w:bodyDiv w:val="1"/>
      <w:marLeft w:val="0"/>
      <w:marRight w:val="0"/>
      <w:marTop w:val="0"/>
      <w:marBottom w:val="0"/>
      <w:divBdr>
        <w:top w:val="none" w:sz="0" w:space="0" w:color="auto"/>
        <w:left w:val="none" w:sz="0" w:space="0" w:color="auto"/>
        <w:bottom w:val="none" w:sz="0" w:space="0" w:color="auto"/>
        <w:right w:val="none" w:sz="0" w:space="0" w:color="auto"/>
      </w:divBdr>
      <w:divsChild>
        <w:div w:id="733550070">
          <w:marLeft w:val="0"/>
          <w:marRight w:val="0"/>
          <w:marTop w:val="0"/>
          <w:marBottom w:val="0"/>
          <w:divBdr>
            <w:top w:val="none" w:sz="0" w:space="0" w:color="auto"/>
            <w:left w:val="none" w:sz="0" w:space="0" w:color="auto"/>
            <w:bottom w:val="none" w:sz="0" w:space="0" w:color="auto"/>
            <w:right w:val="none" w:sz="0" w:space="0" w:color="auto"/>
          </w:divBdr>
          <w:divsChild>
            <w:div w:id="1381200311">
              <w:marLeft w:val="0"/>
              <w:marRight w:val="0"/>
              <w:marTop w:val="0"/>
              <w:marBottom w:val="0"/>
              <w:divBdr>
                <w:top w:val="none" w:sz="0" w:space="0" w:color="auto"/>
                <w:left w:val="none" w:sz="0" w:space="0" w:color="auto"/>
                <w:bottom w:val="none" w:sz="0" w:space="0" w:color="auto"/>
                <w:right w:val="none" w:sz="0" w:space="0" w:color="auto"/>
              </w:divBdr>
              <w:divsChild>
                <w:div w:id="167025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0c0f480-7970-46f8-8250-54552af28c02">
      <Terms xmlns="http://schemas.microsoft.com/office/infopath/2007/PartnerControls"/>
    </lcf76f155ced4ddcb4097134ff3c332f>
    <TaxCatchAll xmlns="f0c8ad39-e49c-465b-a14d-afada793872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F95A991788BCD43A14D11E1A5D8ED3D" ma:contentTypeVersion="11" ma:contentTypeDescription="Een nieuw document maken." ma:contentTypeScope="" ma:versionID="72e6839dc24a19a3623943675c7e1078">
  <xsd:schema xmlns:xsd="http://www.w3.org/2001/XMLSchema" xmlns:xs="http://www.w3.org/2001/XMLSchema" xmlns:p="http://schemas.microsoft.com/office/2006/metadata/properties" xmlns:ns2="80c0f480-7970-46f8-8250-54552af28c02" xmlns:ns3="f0c8ad39-e49c-465b-a14d-afada7938724" targetNamespace="http://schemas.microsoft.com/office/2006/metadata/properties" ma:root="true" ma:fieldsID="8e5aaa4531429d6fc1c6f7ec015cc6cb" ns2:_="" ns3:_="">
    <xsd:import namespace="80c0f480-7970-46f8-8250-54552af28c02"/>
    <xsd:import namespace="f0c8ad39-e49c-465b-a14d-afada793872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0f480-7970-46f8-8250-54552af2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85523468-64ab-4a5d-9397-26e20b2c7a9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c8ad39-e49c-465b-a14d-afada79387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5dfcba-20e5-4252-b99f-efb2d85b4713}" ma:internalName="TaxCatchAll" ma:showField="CatchAllData" ma:web="f0c8ad39-e49c-465b-a14d-afada7938724">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812FDA-21B1-4DB4-B973-B766B206AD9E}">
  <ds:schemaRefs>
    <ds:schemaRef ds:uri="http://schemas.microsoft.com/office/2006/metadata/properties"/>
    <ds:schemaRef ds:uri="http://schemas.microsoft.com/office/infopath/2007/PartnerControls"/>
    <ds:schemaRef ds:uri="77db0391-2295-481d-a436-2f447d17b469"/>
  </ds:schemaRefs>
</ds:datastoreItem>
</file>

<file path=customXml/itemProps2.xml><?xml version="1.0" encoding="utf-8"?>
<ds:datastoreItem xmlns:ds="http://schemas.openxmlformats.org/officeDocument/2006/customXml" ds:itemID="{303A2432-F227-7A4F-BB18-A8398DF8B9C7}">
  <ds:schemaRefs>
    <ds:schemaRef ds:uri="http://schemas.openxmlformats.org/officeDocument/2006/bibliography"/>
  </ds:schemaRefs>
</ds:datastoreItem>
</file>

<file path=customXml/itemProps3.xml><?xml version="1.0" encoding="utf-8"?>
<ds:datastoreItem xmlns:ds="http://schemas.openxmlformats.org/officeDocument/2006/customXml" ds:itemID="{D826D623-5BD6-415D-9090-BD762AAEE849}"/>
</file>

<file path=customXml/itemProps4.xml><?xml version="1.0" encoding="utf-8"?>
<ds:datastoreItem xmlns:ds="http://schemas.openxmlformats.org/officeDocument/2006/customXml" ds:itemID="{62F8114D-2A17-4142-B1D4-1AFE212FF9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637</Words>
  <Characters>3507</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Rijnhout</dc:creator>
  <cp:keywords/>
  <dc:description/>
  <cp:lastModifiedBy>Jan Willem Kuil</cp:lastModifiedBy>
  <cp:revision>2</cp:revision>
  <dcterms:created xsi:type="dcterms:W3CDTF">2022-07-08T07:33:00Z</dcterms:created>
  <dcterms:modified xsi:type="dcterms:W3CDTF">2022-07-08T07:33:00Z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0x0101005F95A991788BCD43A14D11E1A5D8ED3D</vt:lpwstr>
  </property>
  <property fmtid="{D5CDD505-2E9C-101B-9397-08002B2CF9AE}" pid="3" name="MSIP_Label_798eb1ba-53af-4455-b09d-818c8f42fbe3_Enabled">
    <vt:lpwstr>true</vt:lpwstr>
  </property>
  <property fmtid="{D5CDD505-2E9C-101B-9397-08002B2CF9AE}" pid="4" name="MSIP_Label_798eb1ba-53af-4455-b09d-818c8f42fbe3_SetDate">
    <vt:lpwstr>2022-05-02T10:49:50Z</vt:lpwstr>
  </property>
  <property fmtid="{D5CDD505-2E9C-101B-9397-08002B2CF9AE}" pid="5" name="MSIP_Label_798eb1ba-53af-4455-b09d-818c8f42fbe3_Method">
    <vt:lpwstr>Standard</vt:lpwstr>
  </property>
  <property fmtid="{D5CDD505-2E9C-101B-9397-08002B2CF9AE}" pid="6" name="MSIP_Label_798eb1ba-53af-4455-b09d-818c8f42fbe3_Name">
    <vt:lpwstr>FIN-ADR-Rijksoverheid</vt:lpwstr>
  </property>
  <property fmtid="{D5CDD505-2E9C-101B-9397-08002B2CF9AE}" pid="7" name="MSIP_Label_798eb1ba-53af-4455-b09d-818c8f42fbe3_SiteId">
    <vt:lpwstr>84712536-f524-40a0-913b-5d25ba502732</vt:lpwstr>
  </property>
  <property fmtid="{D5CDD505-2E9C-101B-9397-08002B2CF9AE}" pid="8" name="MSIP_Label_798eb1ba-53af-4455-b09d-818c8f42fbe3_ActionId">
    <vt:lpwstr>65e2f666-1348-48d2-9d6b-639fdbc8fa41</vt:lpwstr>
  </property>
  <property fmtid="{D5CDD505-2E9C-101B-9397-08002B2CF9AE}" pid="9" name="MSIP_Label_798eb1ba-53af-4455-b09d-818c8f42fbe3_ContentBits">
    <vt:lpwstr>0</vt:lpwstr>
  </property>
</Properties>
</file>