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398E1" w14:textId="36A19D6D" w:rsidR="003D3D8F" w:rsidRPr="000A2AF8" w:rsidRDefault="003D3D8F" w:rsidP="003D3D8F">
      <w:pPr>
        <w:rPr>
          <w:b/>
          <w:bCs/>
          <w:u w:val="single"/>
        </w:rPr>
      </w:pPr>
      <w:r>
        <w:rPr>
          <w:b/>
          <w:bCs/>
          <w:u w:val="single"/>
        </w:rPr>
        <w:t xml:space="preserve">Verslag werkgroep </w:t>
      </w:r>
      <w:r w:rsidRPr="000A2AF8">
        <w:rPr>
          <w:b/>
          <w:bCs/>
          <w:u w:val="single"/>
        </w:rPr>
        <w:t xml:space="preserve">Verantwoording BVOV </w:t>
      </w:r>
      <w:r w:rsidR="00FB5A39">
        <w:rPr>
          <w:b/>
          <w:bCs/>
          <w:u w:val="single"/>
        </w:rPr>
        <w:t>25</w:t>
      </w:r>
      <w:r w:rsidRPr="000A2AF8">
        <w:rPr>
          <w:b/>
          <w:bCs/>
          <w:u w:val="single"/>
        </w:rPr>
        <w:t>/</w:t>
      </w:r>
      <w:r w:rsidR="00A31429">
        <w:rPr>
          <w:b/>
          <w:bCs/>
          <w:u w:val="single"/>
        </w:rPr>
        <w:t>8</w:t>
      </w:r>
      <w:r w:rsidRPr="000A2AF8">
        <w:rPr>
          <w:b/>
          <w:bCs/>
          <w:u w:val="single"/>
        </w:rPr>
        <w:t>/22</w:t>
      </w:r>
    </w:p>
    <w:p w14:paraId="7FF06632" w14:textId="77777777" w:rsidR="00F35596" w:rsidRDefault="00F35596" w:rsidP="00F35596">
      <w:pPr>
        <w:spacing w:after="160" w:line="259" w:lineRule="auto"/>
        <w:rPr>
          <w:u w:val="single"/>
        </w:rPr>
      </w:pPr>
    </w:p>
    <w:p w14:paraId="47D23D6B" w14:textId="62AF738A" w:rsidR="00345D31" w:rsidRPr="004E11CE" w:rsidRDefault="00EA13D5" w:rsidP="00F35596">
      <w:pPr>
        <w:spacing w:after="160" w:line="259" w:lineRule="auto"/>
      </w:pPr>
      <w:r w:rsidRPr="00F35596">
        <w:rPr>
          <w:u w:val="single"/>
        </w:rPr>
        <w:t xml:space="preserve">Aanwezig: </w:t>
      </w:r>
      <w:r w:rsidR="00345D31" w:rsidRPr="00071C9B">
        <w:t xml:space="preserve">Rob Rijnhout (IenW), </w:t>
      </w:r>
      <w:r w:rsidR="004C4516" w:rsidRPr="00071C9B">
        <w:t xml:space="preserve">Bart </w:t>
      </w:r>
      <w:r w:rsidR="00071C9B" w:rsidRPr="00071C9B">
        <w:t>Snel (IenW)</w:t>
      </w:r>
      <w:r w:rsidR="0071377E">
        <w:t>, Jan Willem Kuil (IenW)</w:t>
      </w:r>
      <w:r w:rsidR="00FC2B82">
        <w:t xml:space="preserve">, </w:t>
      </w:r>
      <w:r w:rsidR="0060709C">
        <w:t>Brigitte van Beers (VRA)</w:t>
      </w:r>
      <w:r w:rsidR="00FC2B82">
        <w:t xml:space="preserve">, </w:t>
      </w:r>
      <w:r w:rsidR="00D90933">
        <w:t xml:space="preserve">Mathijs Bekhuis (Overijssel), </w:t>
      </w:r>
      <w:r w:rsidR="00312619">
        <w:t>Mahir</w:t>
      </w:r>
      <w:r w:rsidR="005B6473">
        <w:t xml:space="preserve"> Sari (DOVA)</w:t>
      </w:r>
      <w:r w:rsidR="00C724EA">
        <w:t xml:space="preserve">, </w:t>
      </w:r>
      <w:proofErr w:type="spellStart"/>
      <w:r w:rsidR="00C724EA">
        <w:t>Domingos</w:t>
      </w:r>
      <w:proofErr w:type="spellEnd"/>
      <w:r w:rsidR="00C724EA">
        <w:t xml:space="preserve"> </w:t>
      </w:r>
      <w:proofErr w:type="spellStart"/>
      <w:r w:rsidR="00C724EA">
        <w:t>Texeira</w:t>
      </w:r>
      <w:proofErr w:type="spellEnd"/>
      <w:r w:rsidR="00C724EA">
        <w:t xml:space="preserve"> (RET)</w:t>
      </w:r>
      <w:r w:rsidR="004E11CE">
        <w:t>,</w:t>
      </w:r>
      <w:r w:rsidR="00F35596">
        <w:t xml:space="preserve"> Gijsbert van Dam (KPMG).</w:t>
      </w:r>
    </w:p>
    <w:p w14:paraId="736B14A4" w14:textId="03608E10" w:rsidR="00345D31" w:rsidRDefault="00002CE8" w:rsidP="00345D31">
      <w:pPr>
        <w:rPr>
          <w:rFonts w:eastAsia="Times New Roman"/>
        </w:rPr>
      </w:pPr>
      <w:r w:rsidRPr="00C6280B">
        <w:rPr>
          <w:u w:val="single"/>
        </w:rPr>
        <w:t>Afmeldingen:</w:t>
      </w:r>
      <w:r>
        <w:t xml:space="preserve"> Loek Dieteren (</w:t>
      </w:r>
      <w:r w:rsidR="00DC40A2">
        <w:t xml:space="preserve">Limburg), </w:t>
      </w:r>
      <w:r w:rsidR="0071377E">
        <w:rPr>
          <w:rFonts w:eastAsia="Times New Roman"/>
        </w:rPr>
        <w:t>Dheeraj Bachoe (ADR)</w:t>
      </w:r>
    </w:p>
    <w:p w14:paraId="675F3FA4" w14:textId="77777777" w:rsidR="00F35596" w:rsidRDefault="00F35596" w:rsidP="00345D31"/>
    <w:p w14:paraId="24EF25EB" w14:textId="4C4225D5" w:rsidR="006A7EB8" w:rsidRPr="001577EF" w:rsidRDefault="00345D31" w:rsidP="006A7EB8">
      <w:pPr>
        <w:numPr>
          <w:ilvl w:val="0"/>
          <w:numId w:val="1"/>
        </w:numPr>
        <w:spacing w:after="240"/>
        <w:rPr>
          <w:rFonts w:eastAsia="Times New Roman"/>
          <w:u w:val="single"/>
        </w:rPr>
      </w:pPr>
      <w:r w:rsidRPr="001577EF">
        <w:rPr>
          <w:rFonts w:eastAsia="Times New Roman"/>
          <w:u w:val="single"/>
        </w:rPr>
        <w:t>Opening, mededelingen, vaststellen agenda</w:t>
      </w:r>
    </w:p>
    <w:p w14:paraId="6EE55EE0" w14:textId="493C22AE" w:rsidR="006A7EB8" w:rsidRPr="006A7EB8" w:rsidRDefault="006A7EB8" w:rsidP="006A7EB8">
      <w:pPr>
        <w:spacing w:after="240"/>
        <w:rPr>
          <w:rFonts w:eastAsia="Times New Roman"/>
        </w:rPr>
      </w:pPr>
      <w:r w:rsidRPr="001577EF">
        <w:rPr>
          <w:rFonts w:eastAsia="Times New Roman"/>
        </w:rPr>
        <w:t>Age</w:t>
      </w:r>
      <w:r>
        <w:rPr>
          <w:rFonts w:eastAsia="Times New Roman"/>
        </w:rPr>
        <w:t>nda wordt ongewijzigd vastgesteld.</w:t>
      </w:r>
    </w:p>
    <w:p w14:paraId="19F92F3A" w14:textId="3620D744" w:rsidR="00345D31" w:rsidRPr="001577EF" w:rsidRDefault="00345D31" w:rsidP="00345D31">
      <w:pPr>
        <w:numPr>
          <w:ilvl w:val="0"/>
          <w:numId w:val="1"/>
        </w:numPr>
        <w:spacing w:after="240"/>
        <w:rPr>
          <w:rFonts w:eastAsia="Times New Roman"/>
          <w:u w:val="single"/>
        </w:rPr>
      </w:pPr>
      <w:r w:rsidRPr="001577EF">
        <w:rPr>
          <w:rFonts w:eastAsia="Times New Roman"/>
          <w:u w:val="single"/>
        </w:rPr>
        <w:t xml:space="preserve">Verslag </w:t>
      </w:r>
      <w:r w:rsidR="00082AAE" w:rsidRPr="001577EF">
        <w:rPr>
          <w:rFonts w:eastAsia="Times New Roman"/>
          <w:u w:val="single"/>
        </w:rPr>
        <w:t>11/8/’22 en</w:t>
      </w:r>
      <w:r w:rsidRPr="001577EF">
        <w:rPr>
          <w:rFonts w:eastAsia="Times New Roman"/>
          <w:u w:val="single"/>
        </w:rPr>
        <w:t xml:space="preserve"> actielijst</w:t>
      </w:r>
    </w:p>
    <w:p w14:paraId="07959585" w14:textId="721EB028" w:rsidR="00345D31" w:rsidRDefault="00C13957" w:rsidP="006A7EB8">
      <w:pPr>
        <w:spacing w:after="240"/>
      </w:pPr>
      <w:r>
        <w:t xml:space="preserve">Beide verslagen worden vastgesteld. </w:t>
      </w:r>
    </w:p>
    <w:p w14:paraId="479F4A15" w14:textId="77777777" w:rsidR="00507F04" w:rsidRDefault="00CA0EE2" w:rsidP="00305021">
      <w:r>
        <w:t>De actielijst is bijgewerkt</w:t>
      </w:r>
      <w:r w:rsidR="00B56F22">
        <w:t>. Actiepunt 2 is verduidelijkt.</w:t>
      </w:r>
      <w:r w:rsidR="007E488B">
        <w:t xml:space="preserve"> </w:t>
      </w:r>
    </w:p>
    <w:p w14:paraId="5D391638" w14:textId="77777777" w:rsidR="00507F04" w:rsidRDefault="00507F04" w:rsidP="00305021"/>
    <w:p w14:paraId="52A552AE" w14:textId="4CBCF184" w:rsidR="00FD18E7" w:rsidRDefault="007E488B" w:rsidP="00305021">
      <w:pPr>
        <w:rPr>
          <w:rFonts w:eastAsia="Times New Roman"/>
        </w:rPr>
      </w:pPr>
      <w:r w:rsidRPr="007E488B">
        <w:rPr>
          <w:u w:val="single"/>
        </w:rPr>
        <w:t>Mathijs</w:t>
      </w:r>
      <w:r>
        <w:t>:</w:t>
      </w:r>
      <w:r w:rsidR="00E6704C">
        <w:t xml:space="preserve"> </w:t>
      </w:r>
      <w:r>
        <w:t xml:space="preserve">Actiepunt Staat van het regionaal OV </w:t>
      </w:r>
      <w:r w:rsidR="00C6280B">
        <w:t xml:space="preserve">is </w:t>
      </w:r>
      <w:r>
        <w:t xml:space="preserve">afgerond: </w:t>
      </w:r>
      <w:r w:rsidR="002D66FE">
        <w:t xml:space="preserve">Met </w:t>
      </w:r>
      <w:r w:rsidR="00E6704C">
        <w:t xml:space="preserve">CROW </w:t>
      </w:r>
      <w:r w:rsidR="002D66FE">
        <w:t xml:space="preserve">is </w:t>
      </w:r>
      <w:r w:rsidR="00E6704C">
        <w:t xml:space="preserve">afgesproken </w:t>
      </w:r>
      <w:r w:rsidR="00FE05AE" w:rsidRPr="00250BE2">
        <w:t>dat we in de staat van het Regionaal OV t.a.v. de BVOV enkel een geaggregeerd overzicht opnemen op landelijk niveau per vervoerder (niet naar concessie herleidbare informatie dus).</w:t>
      </w:r>
      <w:r w:rsidR="00305021">
        <w:t xml:space="preserve"> </w:t>
      </w:r>
      <w:r w:rsidR="00CA0EE2" w:rsidRPr="00305021">
        <w:rPr>
          <w:rFonts w:eastAsia="Times New Roman"/>
          <w:u w:val="single"/>
        </w:rPr>
        <w:t>Mahir</w:t>
      </w:r>
      <w:r w:rsidR="003D3252">
        <w:rPr>
          <w:rFonts w:eastAsia="Times New Roman"/>
          <w:u w:val="single"/>
        </w:rPr>
        <w:t>:</w:t>
      </w:r>
      <w:r w:rsidR="00CA0EE2">
        <w:rPr>
          <w:rFonts w:eastAsia="Times New Roman"/>
        </w:rPr>
        <w:t xml:space="preserve"> </w:t>
      </w:r>
      <w:r w:rsidR="00305021">
        <w:rPr>
          <w:rFonts w:eastAsia="Times New Roman"/>
        </w:rPr>
        <w:t>houdt</w:t>
      </w:r>
      <w:r w:rsidR="007F425D">
        <w:rPr>
          <w:rFonts w:eastAsia="Times New Roman"/>
        </w:rPr>
        <w:t xml:space="preserve"> via Ariëns</w:t>
      </w:r>
      <w:r w:rsidR="00305021">
        <w:rPr>
          <w:rFonts w:eastAsia="Times New Roman"/>
        </w:rPr>
        <w:t xml:space="preserve"> vinger aan de pols omdat CROW dit voorgenomen besluit nog aan het management moet voorleggen.</w:t>
      </w:r>
      <w:r w:rsidR="003D3252">
        <w:rPr>
          <w:rFonts w:eastAsia="Times New Roman"/>
        </w:rPr>
        <w:t xml:space="preserve"> </w:t>
      </w:r>
      <w:r w:rsidR="003D3252" w:rsidRPr="003D3252">
        <w:rPr>
          <w:rFonts w:eastAsia="Times New Roman"/>
          <w:u w:val="single"/>
        </w:rPr>
        <w:t>Mathijs</w:t>
      </w:r>
      <w:r w:rsidR="003D3252">
        <w:rPr>
          <w:rFonts w:eastAsia="Times New Roman"/>
        </w:rPr>
        <w:t>: EC verplicht wel</w:t>
      </w:r>
      <w:r w:rsidR="008831B5">
        <w:rPr>
          <w:rFonts w:eastAsia="Times New Roman"/>
        </w:rPr>
        <w:t xml:space="preserve"> informatieverstrekking</w:t>
      </w:r>
      <w:r w:rsidR="003D3252">
        <w:rPr>
          <w:rFonts w:eastAsia="Times New Roman"/>
        </w:rPr>
        <w:t xml:space="preserve"> per vervoerder</w:t>
      </w:r>
      <w:r w:rsidR="008831B5">
        <w:rPr>
          <w:rFonts w:eastAsia="Times New Roman"/>
        </w:rPr>
        <w:t xml:space="preserve"> (verwijst naar </w:t>
      </w:r>
      <w:proofErr w:type="spellStart"/>
      <w:r w:rsidR="008831B5">
        <w:rPr>
          <w:rFonts w:eastAsia="Times New Roman"/>
        </w:rPr>
        <w:t>jur</w:t>
      </w:r>
      <w:proofErr w:type="spellEnd"/>
      <w:r w:rsidR="008831B5">
        <w:rPr>
          <w:rFonts w:eastAsia="Times New Roman"/>
        </w:rPr>
        <w:t>. Werkgroep bij start BVOV)</w:t>
      </w:r>
      <w:r w:rsidR="003D3252">
        <w:rPr>
          <w:rFonts w:eastAsia="Times New Roman"/>
        </w:rPr>
        <w:t xml:space="preserve">. </w:t>
      </w:r>
      <w:r w:rsidR="003D3252" w:rsidRPr="008831B5">
        <w:rPr>
          <w:rFonts w:eastAsia="Times New Roman"/>
          <w:u w:val="single"/>
        </w:rPr>
        <w:t>Bart</w:t>
      </w:r>
      <w:r w:rsidR="003D3252">
        <w:rPr>
          <w:rFonts w:eastAsia="Times New Roman"/>
        </w:rPr>
        <w:t>: waarom niet</w:t>
      </w:r>
      <w:r w:rsidR="00C6280B">
        <w:rPr>
          <w:rFonts w:eastAsia="Times New Roman"/>
        </w:rPr>
        <w:t xml:space="preserve"> informatie verstrekken</w:t>
      </w:r>
      <w:r w:rsidR="003D3252">
        <w:rPr>
          <w:rFonts w:eastAsia="Times New Roman"/>
        </w:rPr>
        <w:t xml:space="preserve"> per DO</w:t>
      </w:r>
      <w:r w:rsidR="00157638">
        <w:rPr>
          <w:rFonts w:eastAsia="Times New Roman"/>
        </w:rPr>
        <w:t xml:space="preserve">? IenW rapporteert richting Europa </w:t>
      </w:r>
      <w:r w:rsidR="003D3252">
        <w:rPr>
          <w:rFonts w:eastAsia="Times New Roman"/>
        </w:rPr>
        <w:t>altijd alle</w:t>
      </w:r>
      <w:r w:rsidR="00157638">
        <w:rPr>
          <w:rFonts w:eastAsia="Times New Roman"/>
        </w:rPr>
        <w:t>e</w:t>
      </w:r>
      <w:r w:rsidR="003D3252">
        <w:rPr>
          <w:rFonts w:eastAsia="Times New Roman"/>
        </w:rPr>
        <w:t>n op nive</w:t>
      </w:r>
      <w:r w:rsidR="00157638">
        <w:rPr>
          <w:rFonts w:eastAsia="Times New Roman"/>
        </w:rPr>
        <w:t>au</w:t>
      </w:r>
      <w:r w:rsidR="003D3252">
        <w:rPr>
          <w:rFonts w:eastAsia="Times New Roman"/>
        </w:rPr>
        <w:t xml:space="preserve"> HRN en regionaal. </w:t>
      </w:r>
      <w:r w:rsidR="00157638" w:rsidRPr="00157638">
        <w:rPr>
          <w:rFonts w:eastAsia="Times New Roman"/>
          <w:u w:val="single"/>
        </w:rPr>
        <w:t>Mathijs:</w:t>
      </w:r>
      <w:r w:rsidR="00157638">
        <w:rPr>
          <w:rFonts w:eastAsia="Times New Roman"/>
        </w:rPr>
        <w:t xml:space="preserve"> </w:t>
      </w:r>
      <w:r w:rsidR="003D3252">
        <w:rPr>
          <w:rFonts w:eastAsia="Times New Roman"/>
        </w:rPr>
        <w:t>Per DO</w:t>
      </w:r>
      <w:r w:rsidR="00C6280B">
        <w:rPr>
          <w:rFonts w:eastAsia="Times New Roman"/>
        </w:rPr>
        <w:t xml:space="preserve"> is niet wenselijk omdat er </w:t>
      </w:r>
      <w:proofErr w:type="spellStart"/>
      <w:r w:rsidR="003D3252">
        <w:rPr>
          <w:rFonts w:eastAsia="Times New Roman"/>
        </w:rPr>
        <w:t>DO’s</w:t>
      </w:r>
      <w:proofErr w:type="spellEnd"/>
      <w:r w:rsidR="003D3252">
        <w:rPr>
          <w:rFonts w:eastAsia="Times New Roman"/>
        </w:rPr>
        <w:t xml:space="preserve"> zijn met één concessie. </w:t>
      </w:r>
      <w:r w:rsidR="00F87A22">
        <w:rPr>
          <w:rFonts w:eastAsia="Times New Roman"/>
        </w:rPr>
        <w:t xml:space="preserve">ACM is vanuit toezichthoudende rol </w:t>
      </w:r>
      <w:r w:rsidR="00157638">
        <w:rPr>
          <w:rFonts w:eastAsia="Times New Roman"/>
        </w:rPr>
        <w:t>geïnteresseerd</w:t>
      </w:r>
      <w:r w:rsidR="0080188D">
        <w:rPr>
          <w:rFonts w:eastAsia="Times New Roman"/>
        </w:rPr>
        <w:t xml:space="preserve"> in de informatie</w:t>
      </w:r>
      <w:r w:rsidR="00F87A22">
        <w:rPr>
          <w:rFonts w:eastAsia="Times New Roman"/>
        </w:rPr>
        <w:t xml:space="preserve">. </w:t>
      </w:r>
      <w:r w:rsidR="0080188D">
        <w:rPr>
          <w:rFonts w:eastAsia="Times New Roman"/>
        </w:rPr>
        <w:t xml:space="preserve">De </w:t>
      </w:r>
      <w:r w:rsidR="00FD18E7">
        <w:rPr>
          <w:rFonts w:eastAsia="Times New Roman"/>
        </w:rPr>
        <w:t>ACM kan</w:t>
      </w:r>
      <w:r w:rsidR="0080188D">
        <w:rPr>
          <w:rFonts w:eastAsia="Times New Roman"/>
        </w:rPr>
        <w:t xml:space="preserve"> deze</w:t>
      </w:r>
      <w:r w:rsidR="00FD18E7">
        <w:rPr>
          <w:rFonts w:eastAsia="Times New Roman"/>
        </w:rPr>
        <w:t xml:space="preserve"> info</w:t>
      </w:r>
      <w:r w:rsidR="0080188D">
        <w:rPr>
          <w:rFonts w:eastAsia="Times New Roman"/>
        </w:rPr>
        <w:t xml:space="preserve"> </w:t>
      </w:r>
      <w:proofErr w:type="spellStart"/>
      <w:r w:rsidR="00FD18E7">
        <w:rPr>
          <w:rFonts w:eastAsia="Times New Roman"/>
        </w:rPr>
        <w:t>f</w:t>
      </w:r>
      <w:r w:rsidR="0080188D">
        <w:rPr>
          <w:rFonts w:eastAsia="Times New Roman"/>
        </w:rPr>
        <w:t>ormee</w:t>
      </w:r>
      <w:proofErr w:type="spellEnd"/>
      <w:r w:rsidR="00FD18E7">
        <w:rPr>
          <w:rFonts w:eastAsia="Times New Roman"/>
        </w:rPr>
        <w:t xml:space="preserve"> opvragen, maar</w:t>
      </w:r>
      <w:r w:rsidR="00157638">
        <w:rPr>
          <w:rFonts w:eastAsia="Times New Roman"/>
        </w:rPr>
        <w:t xml:space="preserve"> maakt graag gebruik van service</w:t>
      </w:r>
      <w:r w:rsidR="003909AC">
        <w:rPr>
          <w:rFonts w:eastAsia="Times New Roman"/>
        </w:rPr>
        <w:t xml:space="preserve"> </w:t>
      </w:r>
      <w:r w:rsidR="0080188D">
        <w:rPr>
          <w:rFonts w:eastAsia="Times New Roman"/>
        </w:rPr>
        <w:t xml:space="preserve">van </w:t>
      </w:r>
      <w:r w:rsidR="003909AC">
        <w:rPr>
          <w:rFonts w:eastAsia="Times New Roman"/>
        </w:rPr>
        <w:t>C</w:t>
      </w:r>
      <w:r w:rsidR="00157638">
        <w:rPr>
          <w:rFonts w:eastAsia="Times New Roman"/>
        </w:rPr>
        <w:t>ROW</w:t>
      </w:r>
      <w:r w:rsidR="003909AC">
        <w:rPr>
          <w:rFonts w:eastAsia="Times New Roman"/>
        </w:rPr>
        <w:t xml:space="preserve">. </w:t>
      </w:r>
    </w:p>
    <w:p w14:paraId="6AADC363" w14:textId="77777777" w:rsidR="00157638" w:rsidRDefault="00157638" w:rsidP="00305021">
      <w:pPr>
        <w:rPr>
          <w:rFonts w:eastAsia="Times New Roman"/>
        </w:rPr>
      </w:pPr>
    </w:p>
    <w:p w14:paraId="1095D3CE" w14:textId="2449E5A1" w:rsidR="00345D31" w:rsidRPr="006004FF" w:rsidRDefault="00BB41F0" w:rsidP="00345D31">
      <w:pPr>
        <w:numPr>
          <w:ilvl w:val="0"/>
          <w:numId w:val="1"/>
        </w:numPr>
        <w:spacing w:after="240"/>
        <w:rPr>
          <w:rFonts w:eastAsia="Times New Roman"/>
          <w:u w:val="single"/>
        </w:rPr>
      </w:pPr>
      <w:r w:rsidRPr="006004FF">
        <w:rPr>
          <w:rFonts w:eastAsia="Times New Roman"/>
          <w:u w:val="single"/>
        </w:rPr>
        <w:t>Transitievergoeding</w:t>
      </w:r>
      <w:r w:rsidR="00345D31" w:rsidRPr="006004FF">
        <w:rPr>
          <w:rFonts w:eastAsia="Times New Roman"/>
          <w:u w:val="single"/>
        </w:rPr>
        <w:t xml:space="preserve"> 2023</w:t>
      </w:r>
    </w:p>
    <w:p w14:paraId="6F952234" w14:textId="2D48E3A4" w:rsidR="006004FF" w:rsidRDefault="006004FF" w:rsidP="006004FF">
      <w:r w:rsidRPr="006004FF">
        <w:t xml:space="preserve">Toelichting </w:t>
      </w:r>
      <w:r w:rsidR="00B86215">
        <w:t xml:space="preserve">door </w:t>
      </w:r>
      <w:r w:rsidR="00B86215" w:rsidRPr="00B86215">
        <w:rPr>
          <w:u w:val="single"/>
        </w:rPr>
        <w:t>Rob</w:t>
      </w:r>
      <w:r w:rsidR="00B86215">
        <w:t xml:space="preserve"> </w:t>
      </w:r>
      <w:r w:rsidRPr="006004FF">
        <w:t xml:space="preserve">op TVOV: Met de TVOV kunnen de verantwoordelijke overheden ook in 2023 de </w:t>
      </w:r>
      <w:r w:rsidRPr="00B446D9">
        <w:t>reiziger een voldoende, veilig en betrouwbaar OV bieden en kan de OV-sector de noodzakelijke transitie maken</w:t>
      </w:r>
      <w:r>
        <w:t xml:space="preserve">, zonder </w:t>
      </w:r>
      <w:proofErr w:type="spellStart"/>
      <w:r>
        <w:t>grofschalige</w:t>
      </w:r>
      <w:proofErr w:type="spellEnd"/>
      <w:r>
        <w:t xml:space="preserve"> afschaling.</w:t>
      </w:r>
    </w:p>
    <w:p w14:paraId="474E1835" w14:textId="77777777" w:rsidR="006004FF" w:rsidRDefault="006004FF" w:rsidP="006004FF">
      <w:pPr>
        <w:pStyle w:val="Lijstalinea"/>
        <w:numPr>
          <w:ilvl w:val="0"/>
          <w:numId w:val="4"/>
        </w:numPr>
        <w:spacing w:after="160" w:line="259" w:lineRule="auto"/>
      </w:pPr>
      <w:r>
        <w:t>Het plafond en budget v/d regeling is € 150 mln; het totaal v/d max TVOV 2023 voor alle concessies o.b.v. wat in het bedrijfstakscenario het veronderstelde herstel aan reizigersopbrengsten is: 82% ten opzichte van het oude normaal. Er is een plafond per concessie.</w:t>
      </w:r>
    </w:p>
    <w:p w14:paraId="1A0371B6" w14:textId="77777777" w:rsidR="006004FF" w:rsidRDefault="006004FF" w:rsidP="006004FF">
      <w:pPr>
        <w:pStyle w:val="Lijstalinea"/>
        <w:numPr>
          <w:ilvl w:val="0"/>
          <w:numId w:val="4"/>
        </w:numPr>
        <w:spacing w:after="160" w:line="259" w:lineRule="auto"/>
      </w:pPr>
      <w:r>
        <w:t>Verder worden de referentiegetallen 2019 als basis gehanteerd, tenzij een concessie later is gestart.</w:t>
      </w:r>
    </w:p>
    <w:p w14:paraId="112E1F66" w14:textId="77777777" w:rsidR="006004FF" w:rsidRDefault="006004FF" w:rsidP="006004FF">
      <w:pPr>
        <w:pStyle w:val="Lijstalinea"/>
        <w:numPr>
          <w:ilvl w:val="0"/>
          <w:numId w:val="4"/>
        </w:numPr>
        <w:spacing w:after="160" w:line="259" w:lineRule="auto"/>
      </w:pPr>
      <w:r>
        <w:t>De BVOV vulde de daadwerkelijke opbrengsten (</w:t>
      </w:r>
      <w:r w:rsidRPr="0049018B">
        <w:rPr>
          <w:u w:val="single"/>
        </w:rPr>
        <w:t>alle</w:t>
      </w:r>
      <w:r>
        <w:t xml:space="preserve"> opbrengstencategorieën) aan tot 93/95% van de referentiekosten 2019.</w:t>
      </w:r>
    </w:p>
    <w:p w14:paraId="31773C16" w14:textId="49807EDA" w:rsidR="006004FF" w:rsidRDefault="006004FF" w:rsidP="006004FF">
      <w:pPr>
        <w:pStyle w:val="Lijstalinea"/>
        <w:numPr>
          <w:ilvl w:val="0"/>
          <w:numId w:val="4"/>
        </w:numPr>
        <w:spacing w:after="160" w:line="259" w:lineRule="auto"/>
      </w:pPr>
      <w:r>
        <w:t>De TVOV</w:t>
      </w:r>
      <w:r w:rsidR="00F260F4">
        <w:t xml:space="preserve"> echter,</w:t>
      </w:r>
      <w:r>
        <w:t xml:space="preserve"> vult de directe reizigersopbrengsten aan, met een minimum van 82% (geïndexeerde referentieopbrengsten) , waarbij de overige opbrengsten gelijk zijn aan de geïndexeerde referentie 2019, tot 93%, dan wel 95% van de geïndexeerde referentiekosten 2019. Van dit berekende bedrag wordt 2/3 door IenW verstrekt. Die 2/3 is de TVOV.</w:t>
      </w:r>
    </w:p>
    <w:p w14:paraId="4648DC07" w14:textId="3A1AF10F" w:rsidR="006004FF" w:rsidRDefault="006004FF" w:rsidP="006004FF">
      <w:pPr>
        <w:pStyle w:val="Lijstalinea"/>
        <w:numPr>
          <w:ilvl w:val="0"/>
          <w:numId w:val="4"/>
        </w:numPr>
        <w:spacing w:after="160" w:line="259" w:lineRule="auto"/>
      </w:pPr>
      <w:r>
        <w:t xml:space="preserve">De maximale TVOV wordt verstrekt bij 82% herstel v/d reizigersopbrengsten. Indien het herstel minder is dan 82%, wordt niet méér dan het maximum bedrag vergoed. Indien het herstel groter is, neemt de TVOV af. </w:t>
      </w:r>
      <w:r w:rsidR="006F1E0A">
        <w:t xml:space="preserve">Er wordt geen TVOV verstrekt als de werkelijke directe reizigersopbrengsten het </w:t>
      </w:r>
      <w:r w:rsidR="00D94E79">
        <w:t>(geïndexeerde) referentieniveau bereiken.</w:t>
      </w:r>
    </w:p>
    <w:p w14:paraId="742DCFAF" w14:textId="77777777" w:rsidR="006004FF" w:rsidRDefault="006004FF" w:rsidP="006004FF">
      <w:pPr>
        <w:pStyle w:val="Lijstalinea"/>
        <w:numPr>
          <w:ilvl w:val="0"/>
          <w:numId w:val="4"/>
        </w:numPr>
        <w:spacing w:after="160" w:line="259" w:lineRule="auto"/>
      </w:pPr>
      <w:r>
        <w:t xml:space="preserve">De bij de BVOV gebruikelijke bevoorschotting (80% en 95%) is ook bij de TVOV van toepassing.    </w:t>
      </w:r>
    </w:p>
    <w:p w14:paraId="1C854FEE" w14:textId="7F891AB4" w:rsidR="006004FF" w:rsidRDefault="006004FF" w:rsidP="006004FF">
      <w:pPr>
        <w:pStyle w:val="Lijstalinea"/>
        <w:numPr>
          <w:ilvl w:val="0"/>
          <w:numId w:val="4"/>
        </w:numPr>
        <w:spacing w:after="160" w:line="259" w:lineRule="auto"/>
      </w:pPr>
      <w:r>
        <w:lastRenderedPageBreak/>
        <w:t>Bij</w:t>
      </w:r>
      <w:r w:rsidR="00823173">
        <w:t xml:space="preserve"> toekenning van de TVOV worden de geschatte directe reizigersopbrengsten gehanteerd.</w:t>
      </w:r>
      <w:r>
        <w:t xml:space="preserve"> </w:t>
      </w:r>
      <w:r w:rsidR="00823173">
        <w:t xml:space="preserve">Bij </w:t>
      </w:r>
      <w:r>
        <w:t xml:space="preserve">vaststelling v/d TVOV </w:t>
      </w:r>
      <w:r w:rsidR="00823173">
        <w:t xml:space="preserve">de werkelijke directe reizigersopbrengsten. </w:t>
      </w:r>
    </w:p>
    <w:p w14:paraId="2856D951" w14:textId="3C17FCDB" w:rsidR="00B86215" w:rsidRDefault="00B86215" w:rsidP="006004FF">
      <w:pPr>
        <w:pStyle w:val="Lijstalinea"/>
        <w:numPr>
          <w:ilvl w:val="0"/>
          <w:numId w:val="4"/>
        </w:numPr>
        <w:spacing w:after="160" w:line="259" w:lineRule="auto"/>
      </w:pPr>
      <w:r>
        <w:t>De TVOV laat geen rendement toe. De toets daarop is gelijk aan die bij de BVOV.</w:t>
      </w:r>
    </w:p>
    <w:p w14:paraId="2669BE98" w14:textId="77777777" w:rsidR="00B86215" w:rsidRPr="006923B2" w:rsidRDefault="00B86215" w:rsidP="00B86215">
      <w:pPr>
        <w:pStyle w:val="Lijstalinea"/>
        <w:spacing w:after="160" w:line="259" w:lineRule="auto"/>
      </w:pPr>
    </w:p>
    <w:p w14:paraId="203C9E84" w14:textId="71327551" w:rsidR="00E2219E" w:rsidRDefault="00B86215" w:rsidP="00975958">
      <w:pPr>
        <w:spacing w:after="240"/>
        <w:rPr>
          <w:rFonts w:eastAsia="Times New Roman"/>
        </w:rPr>
      </w:pPr>
      <w:r w:rsidRPr="00B86215">
        <w:rPr>
          <w:rFonts w:eastAsia="Times New Roman"/>
          <w:u w:val="single"/>
        </w:rPr>
        <w:t>IenW</w:t>
      </w:r>
      <w:r w:rsidR="00E5671A">
        <w:rPr>
          <w:rFonts w:eastAsia="Times New Roman"/>
        </w:rPr>
        <w:t xml:space="preserve"> nodigt partijen uit om commentaar te leveren op de TN, waarbij het deel na H</w:t>
      </w:r>
      <w:r w:rsidR="000E39EC">
        <w:rPr>
          <w:rFonts w:eastAsia="Times New Roman"/>
        </w:rPr>
        <w:t xml:space="preserve">oofdstuk </w:t>
      </w:r>
      <w:r w:rsidR="00E5671A">
        <w:rPr>
          <w:rFonts w:eastAsia="Times New Roman"/>
        </w:rPr>
        <w:t xml:space="preserve">4 nog </w:t>
      </w:r>
      <w:proofErr w:type="spellStart"/>
      <w:r w:rsidR="00E5671A">
        <w:rPr>
          <w:rFonts w:eastAsia="Times New Roman"/>
        </w:rPr>
        <w:t>work</w:t>
      </w:r>
      <w:proofErr w:type="spellEnd"/>
      <w:r w:rsidR="00E5671A">
        <w:rPr>
          <w:rFonts w:eastAsia="Times New Roman"/>
        </w:rPr>
        <w:t xml:space="preserve"> in </w:t>
      </w:r>
      <w:proofErr w:type="spellStart"/>
      <w:r w:rsidR="00E5671A">
        <w:rPr>
          <w:rFonts w:eastAsia="Times New Roman"/>
        </w:rPr>
        <w:t>progress</w:t>
      </w:r>
      <w:proofErr w:type="spellEnd"/>
      <w:r w:rsidR="00E5671A">
        <w:rPr>
          <w:rFonts w:eastAsia="Times New Roman"/>
        </w:rPr>
        <w:t xml:space="preserve"> is, maar dat raakt niet de </w:t>
      </w:r>
      <w:r w:rsidR="000E39EC">
        <w:rPr>
          <w:rFonts w:eastAsia="Times New Roman"/>
        </w:rPr>
        <w:t xml:space="preserve">inhoud </w:t>
      </w:r>
      <w:r w:rsidR="00E5671A">
        <w:rPr>
          <w:rFonts w:eastAsia="Times New Roman"/>
        </w:rPr>
        <w:t>van de regeling.</w:t>
      </w:r>
      <w:r w:rsidR="008A5050">
        <w:rPr>
          <w:rFonts w:eastAsia="Times New Roman"/>
        </w:rPr>
        <w:t xml:space="preserve"> </w:t>
      </w:r>
    </w:p>
    <w:p w14:paraId="479DAE98" w14:textId="525C95AE" w:rsidR="0007489C" w:rsidRDefault="00687258" w:rsidP="00975958">
      <w:pPr>
        <w:spacing w:after="240"/>
        <w:rPr>
          <w:rFonts w:eastAsia="Times New Roman"/>
        </w:rPr>
      </w:pPr>
      <w:r w:rsidRPr="00687258">
        <w:rPr>
          <w:rFonts w:eastAsia="Times New Roman"/>
          <w:u w:val="single"/>
        </w:rPr>
        <w:t>Mahir:</w:t>
      </w:r>
      <w:r>
        <w:rPr>
          <w:rFonts w:eastAsia="Times New Roman"/>
        </w:rPr>
        <w:t xml:space="preserve"> </w:t>
      </w:r>
      <w:r w:rsidR="0007489C">
        <w:rPr>
          <w:rFonts w:eastAsia="Times New Roman"/>
        </w:rPr>
        <w:t xml:space="preserve">Vraag over eenmalige bijdragen i.r.t. TVOV berekening: </w:t>
      </w:r>
      <w:r w:rsidR="0007489C" w:rsidRPr="009E542D">
        <w:rPr>
          <w:rFonts w:eastAsia="Times New Roman"/>
          <w:u w:val="single"/>
        </w:rPr>
        <w:t>Rob:</w:t>
      </w:r>
      <w:r w:rsidR="0007489C">
        <w:rPr>
          <w:rFonts w:eastAsia="Times New Roman"/>
        </w:rPr>
        <w:t xml:space="preserve"> deze</w:t>
      </w:r>
      <w:r w:rsidR="009E542D">
        <w:rPr>
          <w:rFonts w:eastAsia="Times New Roman"/>
        </w:rPr>
        <w:t>, evenals andere additionele subsidies door de DO</w:t>
      </w:r>
      <w:r w:rsidR="0007489C">
        <w:rPr>
          <w:rFonts w:eastAsia="Times New Roman"/>
        </w:rPr>
        <w:t xml:space="preserve"> spe</w:t>
      </w:r>
      <w:r w:rsidR="00215B45">
        <w:rPr>
          <w:rFonts w:eastAsia="Times New Roman"/>
        </w:rPr>
        <w:t>len</w:t>
      </w:r>
      <w:r w:rsidR="0007489C">
        <w:rPr>
          <w:rFonts w:eastAsia="Times New Roman"/>
        </w:rPr>
        <w:t xml:space="preserve"> geen </w:t>
      </w:r>
      <w:r w:rsidR="00215B45">
        <w:rPr>
          <w:rFonts w:eastAsia="Times New Roman"/>
        </w:rPr>
        <w:t xml:space="preserve">directe </w:t>
      </w:r>
      <w:r w:rsidR="0007489C">
        <w:rPr>
          <w:rFonts w:eastAsia="Times New Roman"/>
        </w:rPr>
        <w:t>rol in TVOV berekenin</w:t>
      </w:r>
      <w:r w:rsidR="009026BF">
        <w:rPr>
          <w:rFonts w:eastAsia="Times New Roman"/>
        </w:rPr>
        <w:t xml:space="preserve">g. </w:t>
      </w:r>
      <w:r w:rsidR="004F5FD2">
        <w:rPr>
          <w:rFonts w:eastAsia="Times New Roman"/>
        </w:rPr>
        <w:t xml:space="preserve">De </w:t>
      </w:r>
      <w:r w:rsidR="009026BF">
        <w:rPr>
          <w:rFonts w:eastAsia="Times New Roman"/>
        </w:rPr>
        <w:t xml:space="preserve">TVOV is </w:t>
      </w:r>
      <w:r>
        <w:rPr>
          <w:rFonts w:eastAsia="Times New Roman"/>
        </w:rPr>
        <w:t xml:space="preserve">gebaseerd op </w:t>
      </w:r>
      <w:r w:rsidR="004F5FD2">
        <w:rPr>
          <w:rFonts w:eastAsia="Times New Roman"/>
        </w:rPr>
        <w:t xml:space="preserve">de </w:t>
      </w:r>
      <w:r w:rsidR="006027A6">
        <w:rPr>
          <w:rFonts w:eastAsia="Times New Roman"/>
        </w:rPr>
        <w:t>geïndexeerde</w:t>
      </w:r>
      <w:r w:rsidR="004F5FD2">
        <w:rPr>
          <w:rFonts w:eastAsia="Times New Roman"/>
        </w:rPr>
        <w:t xml:space="preserve"> </w:t>
      </w:r>
      <w:r>
        <w:rPr>
          <w:rFonts w:eastAsia="Times New Roman"/>
        </w:rPr>
        <w:t>referentie</w:t>
      </w:r>
      <w:r w:rsidR="004F5FD2">
        <w:rPr>
          <w:rFonts w:eastAsia="Times New Roman"/>
        </w:rPr>
        <w:t>kosten- en opbrengsten</w:t>
      </w:r>
      <w:r>
        <w:rPr>
          <w:rFonts w:eastAsia="Times New Roman"/>
        </w:rPr>
        <w:t xml:space="preserve"> 2019</w:t>
      </w:r>
      <w:r w:rsidR="004F5FD2">
        <w:rPr>
          <w:rFonts w:eastAsia="Times New Roman"/>
        </w:rPr>
        <w:t xml:space="preserve"> (exclusief de eenmalige bijdragen)</w:t>
      </w:r>
      <w:r>
        <w:rPr>
          <w:rFonts w:eastAsia="Times New Roman"/>
        </w:rPr>
        <w:t xml:space="preserve"> en </w:t>
      </w:r>
      <w:r w:rsidR="004F5FD2">
        <w:rPr>
          <w:rFonts w:eastAsia="Times New Roman"/>
        </w:rPr>
        <w:t xml:space="preserve">de </w:t>
      </w:r>
      <w:r>
        <w:rPr>
          <w:rFonts w:eastAsia="Times New Roman"/>
        </w:rPr>
        <w:t>geschatte</w:t>
      </w:r>
      <w:r w:rsidR="004F5FD2">
        <w:rPr>
          <w:rFonts w:eastAsia="Times New Roman"/>
        </w:rPr>
        <w:t xml:space="preserve"> (bij toekenning) en werkelijke (bij vaststelling)</w:t>
      </w:r>
      <w:r>
        <w:rPr>
          <w:rFonts w:eastAsia="Times New Roman"/>
        </w:rPr>
        <w:t xml:space="preserve"> directe reizigersopbrengsten. </w:t>
      </w:r>
      <w:r w:rsidR="009E542D">
        <w:rPr>
          <w:rFonts w:eastAsia="Times New Roman"/>
        </w:rPr>
        <w:t>De e</w:t>
      </w:r>
      <w:r w:rsidR="009026BF">
        <w:rPr>
          <w:rFonts w:eastAsia="Times New Roman"/>
        </w:rPr>
        <w:t>enmalige bijdrage</w:t>
      </w:r>
      <w:r w:rsidR="004F5FD2">
        <w:rPr>
          <w:rFonts w:eastAsia="Times New Roman"/>
        </w:rPr>
        <w:t>n</w:t>
      </w:r>
      <w:r w:rsidR="009026BF">
        <w:rPr>
          <w:rFonts w:eastAsia="Times New Roman"/>
        </w:rPr>
        <w:t xml:space="preserve"> kom</w:t>
      </w:r>
      <w:r w:rsidR="004F5FD2">
        <w:rPr>
          <w:rFonts w:eastAsia="Times New Roman"/>
        </w:rPr>
        <w:t xml:space="preserve">en </w:t>
      </w:r>
      <w:r w:rsidR="009026BF">
        <w:rPr>
          <w:rFonts w:eastAsia="Times New Roman"/>
        </w:rPr>
        <w:t>alleen terug in de rendementstoets</w:t>
      </w:r>
      <w:r w:rsidR="004F5FD2">
        <w:rPr>
          <w:rFonts w:eastAsia="Times New Roman"/>
        </w:rPr>
        <w:t>: R</w:t>
      </w:r>
      <w:r w:rsidR="00E71919">
        <w:rPr>
          <w:rFonts w:eastAsia="Times New Roman"/>
        </w:rPr>
        <w:t xml:space="preserve">endement </w:t>
      </w:r>
      <w:r w:rsidR="004F5FD2">
        <w:rPr>
          <w:rFonts w:eastAsia="Times New Roman"/>
        </w:rPr>
        <w:t xml:space="preserve">is </w:t>
      </w:r>
      <w:r w:rsidR="00E71919">
        <w:rPr>
          <w:rFonts w:eastAsia="Times New Roman"/>
        </w:rPr>
        <w:t>niet toegelaten in de TVOV</w:t>
      </w:r>
      <w:r w:rsidR="00C77283">
        <w:rPr>
          <w:rFonts w:eastAsia="Times New Roman"/>
        </w:rPr>
        <w:t xml:space="preserve">. In deze toets gaat het om de </w:t>
      </w:r>
      <w:r w:rsidR="009E542D">
        <w:rPr>
          <w:rFonts w:eastAsia="Times New Roman"/>
        </w:rPr>
        <w:t>werkelijke opbrengsten</w:t>
      </w:r>
      <w:r w:rsidR="00C77283">
        <w:rPr>
          <w:rFonts w:eastAsia="Times New Roman"/>
        </w:rPr>
        <w:t xml:space="preserve"> (inclusief de eenmalige bijdragen)</w:t>
      </w:r>
      <w:r w:rsidR="009E542D">
        <w:rPr>
          <w:rFonts w:eastAsia="Times New Roman"/>
        </w:rPr>
        <w:t xml:space="preserve"> en kosten in 2023</w:t>
      </w:r>
      <w:r w:rsidR="009026BF">
        <w:rPr>
          <w:rFonts w:eastAsia="Times New Roman"/>
        </w:rPr>
        <w:t xml:space="preserve">. </w:t>
      </w:r>
      <w:r w:rsidR="00AC43D1" w:rsidRPr="00AC43D1">
        <w:rPr>
          <w:rFonts w:eastAsia="Times New Roman"/>
          <w:u w:val="single"/>
        </w:rPr>
        <w:t>Bart</w:t>
      </w:r>
      <w:r w:rsidR="00AC43D1">
        <w:rPr>
          <w:rFonts w:eastAsia="Times New Roman"/>
          <w:u w:val="single"/>
        </w:rPr>
        <w:t xml:space="preserve">: </w:t>
      </w:r>
      <w:r w:rsidR="00B648FF">
        <w:rPr>
          <w:rFonts w:eastAsia="Times New Roman"/>
        </w:rPr>
        <w:t>Stel dat je als DO de 1/3 bijdrage invult</w:t>
      </w:r>
      <w:r w:rsidR="00C77283">
        <w:rPr>
          <w:rFonts w:eastAsia="Times New Roman"/>
        </w:rPr>
        <w:t xml:space="preserve"> </w:t>
      </w:r>
      <w:r w:rsidR="00B648FF">
        <w:rPr>
          <w:rFonts w:eastAsia="Times New Roman"/>
        </w:rPr>
        <w:t xml:space="preserve"> als extra bijdrage, dan wordt hij niet afg</w:t>
      </w:r>
      <w:r w:rsidR="006027A6">
        <w:rPr>
          <w:rFonts w:eastAsia="Times New Roman"/>
        </w:rPr>
        <w:t>e</w:t>
      </w:r>
      <w:r w:rsidR="00B648FF">
        <w:rPr>
          <w:rFonts w:eastAsia="Times New Roman"/>
        </w:rPr>
        <w:t>ro</w:t>
      </w:r>
      <w:r w:rsidR="006027A6">
        <w:rPr>
          <w:rFonts w:eastAsia="Times New Roman"/>
        </w:rPr>
        <w:t>om</w:t>
      </w:r>
      <w:r w:rsidR="00B648FF">
        <w:rPr>
          <w:rFonts w:eastAsia="Times New Roman"/>
        </w:rPr>
        <w:t xml:space="preserve">d, tenzij </w:t>
      </w:r>
      <w:r w:rsidR="00C77283">
        <w:rPr>
          <w:rFonts w:eastAsia="Times New Roman"/>
        </w:rPr>
        <w:t xml:space="preserve">(mede) </w:t>
      </w:r>
      <w:r w:rsidR="00B648FF">
        <w:rPr>
          <w:rFonts w:eastAsia="Times New Roman"/>
        </w:rPr>
        <w:t>als gevolg daarvan de werkelijk opbrengsten hoger worden dan de werkelijke kosten.</w:t>
      </w:r>
      <w:r w:rsidR="00B61D77">
        <w:rPr>
          <w:rFonts w:eastAsia="Times New Roman"/>
        </w:rPr>
        <w:t xml:space="preserve"> </w:t>
      </w:r>
      <w:r w:rsidR="00603FAF">
        <w:rPr>
          <w:rFonts w:eastAsia="Times New Roman"/>
        </w:rPr>
        <w:t>Afroming speelt</w:t>
      </w:r>
      <w:r w:rsidR="00B61D77">
        <w:rPr>
          <w:rFonts w:eastAsia="Times New Roman"/>
        </w:rPr>
        <w:t xml:space="preserve"> logischerwijs alleen bij vaststelling van de TVOV.</w:t>
      </w:r>
    </w:p>
    <w:p w14:paraId="089115E5" w14:textId="77777777" w:rsidR="007D63D3" w:rsidRDefault="002A6B9E" w:rsidP="00975958">
      <w:pPr>
        <w:spacing w:after="240"/>
        <w:rPr>
          <w:rFonts w:eastAsia="Times New Roman"/>
        </w:rPr>
      </w:pPr>
      <w:r>
        <w:rPr>
          <w:rFonts w:eastAsia="Times New Roman"/>
          <w:u w:val="single"/>
        </w:rPr>
        <w:t>Rob</w:t>
      </w:r>
      <w:r w:rsidR="00824DE5">
        <w:rPr>
          <w:rFonts w:eastAsia="Times New Roman"/>
          <w:u w:val="single"/>
        </w:rPr>
        <w:t>/Bart</w:t>
      </w:r>
      <w:r>
        <w:rPr>
          <w:rFonts w:eastAsia="Times New Roman"/>
          <w:u w:val="single"/>
        </w:rPr>
        <w:t>:</w:t>
      </w:r>
      <w:r w:rsidR="00824DE5">
        <w:rPr>
          <w:rFonts w:eastAsia="Times New Roman"/>
        </w:rPr>
        <w:t xml:space="preserve"> Ook </w:t>
      </w:r>
      <w:r>
        <w:rPr>
          <w:rFonts w:eastAsia="Times New Roman"/>
        </w:rPr>
        <w:t xml:space="preserve">bij de BVOV vielen </w:t>
      </w:r>
      <w:r w:rsidR="00C3690F">
        <w:rPr>
          <w:rFonts w:eastAsia="Times New Roman"/>
        </w:rPr>
        <w:t>additionele subsidies</w:t>
      </w:r>
      <w:r w:rsidR="00A6123C">
        <w:rPr>
          <w:rFonts w:eastAsia="Times New Roman"/>
        </w:rPr>
        <w:t xml:space="preserve"> v/d DO </w:t>
      </w:r>
      <w:r w:rsidR="00995EE8">
        <w:rPr>
          <w:rFonts w:eastAsia="Times New Roman"/>
        </w:rPr>
        <w:t xml:space="preserve">binnen het bereik van de </w:t>
      </w:r>
      <w:r w:rsidR="00A6123C">
        <w:rPr>
          <w:rFonts w:eastAsia="Times New Roman"/>
        </w:rPr>
        <w:t xml:space="preserve">rendementstoets. </w:t>
      </w:r>
      <w:r w:rsidR="00995EE8">
        <w:rPr>
          <w:rFonts w:eastAsia="Times New Roman"/>
        </w:rPr>
        <w:t xml:space="preserve">Voor zover de regeling op dat punt nog </w:t>
      </w:r>
      <w:r w:rsidR="00824DE5">
        <w:rPr>
          <w:rFonts w:eastAsia="Times New Roman"/>
        </w:rPr>
        <w:t xml:space="preserve">niet geheel duidelijk is, zal dit in de </w:t>
      </w:r>
      <w:proofErr w:type="spellStart"/>
      <w:r w:rsidR="00824DE5">
        <w:rPr>
          <w:rFonts w:eastAsia="Times New Roman"/>
        </w:rPr>
        <w:t>QenA’s</w:t>
      </w:r>
      <w:proofErr w:type="spellEnd"/>
      <w:r w:rsidR="00824DE5">
        <w:rPr>
          <w:rFonts w:eastAsia="Times New Roman"/>
        </w:rPr>
        <w:t xml:space="preserve"> plaatsvinden (zie actie</w:t>
      </w:r>
      <w:r w:rsidR="00C3690F">
        <w:rPr>
          <w:rFonts w:eastAsia="Times New Roman"/>
        </w:rPr>
        <w:t>)</w:t>
      </w:r>
      <w:r w:rsidR="00824DE5">
        <w:rPr>
          <w:rFonts w:eastAsia="Times New Roman"/>
        </w:rPr>
        <w:t>.</w:t>
      </w:r>
    </w:p>
    <w:p w14:paraId="77ECBAE7" w14:textId="58BA8882" w:rsidR="007D63D3" w:rsidRDefault="00D079E3" w:rsidP="00975958">
      <w:pPr>
        <w:spacing w:after="240"/>
        <w:rPr>
          <w:rFonts w:eastAsia="Times New Roman"/>
        </w:rPr>
      </w:pPr>
      <w:r>
        <w:rPr>
          <w:rFonts w:eastAsia="Times New Roman"/>
          <w:u w:val="single"/>
        </w:rPr>
        <w:t>Brigitte:</w:t>
      </w:r>
      <w:r>
        <w:rPr>
          <w:rFonts w:eastAsia="Times New Roman"/>
        </w:rPr>
        <w:t xml:space="preserve"> Wordt de BVOV-index bij de voorjaarsnota aangepast?  </w:t>
      </w:r>
      <w:r w:rsidR="001E3C45" w:rsidRPr="001E3C45">
        <w:rPr>
          <w:rFonts w:eastAsia="Times New Roman"/>
          <w:u w:val="single"/>
        </w:rPr>
        <w:t>IenW:</w:t>
      </w:r>
      <w:r w:rsidR="001E3C45">
        <w:rPr>
          <w:rFonts w:eastAsia="Times New Roman"/>
        </w:rPr>
        <w:t xml:space="preserve"> </w:t>
      </w:r>
      <w:r w:rsidR="00C5315F">
        <w:rPr>
          <w:rFonts w:eastAsia="Times New Roman"/>
        </w:rPr>
        <w:t xml:space="preserve">De </w:t>
      </w:r>
      <w:r w:rsidR="00D37ED6">
        <w:rPr>
          <w:rFonts w:eastAsia="Times New Roman"/>
        </w:rPr>
        <w:t>BVOV-index is gefixeerd</w:t>
      </w:r>
      <w:r w:rsidR="001E3C45">
        <w:rPr>
          <w:rFonts w:eastAsia="Times New Roman"/>
        </w:rPr>
        <w:t xml:space="preserve"> en zal ook bij de voorjaarsnota niet worden aangepast</w:t>
      </w:r>
      <w:r w:rsidR="007D5526" w:rsidRPr="00133141">
        <w:rPr>
          <w:rFonts w:eastAsia="Times New Roman"/>
          <w:u w:val="single"/>
        </w:rPr>
        <w:t xml:space="preserve">. </w:t>
      </w:r>
      <w:r w:rsidR="00133141" w:rsidRPr="00133141">
        <w:rPr>
          <w:rFonts w:eastAsia="Times New Roman"/>
          <w:u w:val="single"/>
        </w:rPr>
        <w:t>Brigitte:</w:t>
      </w:r>
      <w:r w:rsidR="00133141">
        <w:rPr>
          <w:rFonts w:eastAsia="Times New Roman"/>
        </w:rPr>
        <w:t xml:space="preserve"> Dat is een probleem, gelet op bijv. stijgende energiekosten</w:t>
      </w:r>
      <w:r w:rsidR="00F05FE2">
        <w:rPr>
          <w:rFonts w:eastAsia="Times New Roman"/>
        </w:rPr>
        <w:t>.</w:t>
      </w:r>
    </w:p>
    <w:p w14:paraId="63C691C1" w14:textId="77777777" w:rsidR="00F51B81" w:rsidRDefault="00351D26" w:rsidP="00F51B81">
      <w:pPr>
        <w:spacing w:after="240"/>
        <w:rPr>
          <w:rFonts w:eastAsia="Times New Roman"/>
        </w:rPr>
      </w:pPr>
      <w:r>
        <w:rPr>
          <w:rFonts w:eastAsia="Times New Roman"/>
          <w:u w:val="single"/>
        </w:rPr>
        <w:t xml:space="preserve">Rob: </w:t>
      </w:r>
      <w:r w:rsidR="00D0384D" w:rsidRPr="00351D26">
        <w:rPr>
          <w:rFonts w:eastAsia="Times New Roman"/>
        </w:rPr>
        <w:t>De aanpassing 2023</w:t>
      </w:r>
      <w:r>
        <w:rPr>
          <w:rFonts w:eastAsia="Times New Roman"/>
        </w:rPr>
        <w:t xml:space="preserve"> van</w:t>
      </w:r>
      <w:r w:rsidR="00D0384D" w:rsidRPr="00351D26">
        <w:rPr>
          <w:rFonts w:eastAsia="Times New Roman"/>
        </w:rPr>
        <w:t xml:space="preserve"> 3,5%</w:t>
      </w:r>
      <w:r>
        <w:rPr>
          <w:rFonts w:eastAsia="Times New Roman"/>
        </w:rPr>
        <w:t xml:space="preserve"> is als volgt onderbouwd</w:t>
      </w:r>
      <w:r w:rsidR="00D0384D" w:rsidRPr="00351D26">
        <w:rPr>
          <w:rFonts w:eastAsia="Times New Roman"/>
        </w:rPr>
        <w:t>: Centraal</w:t>
      </w:r>
      <w:r w:rsidR="00D0384D">
        <w:rPr>
          <w:rFonts w:eastAsia="Times New Roman"/>
        </w:rPr>
        <w:t xml:space="preserve"> Economisch plan </w:t>
      </w:r>
      <w:r>
        <w:rPr>
          <w:rFonts w:eastAsia="Times New Roman"/>
        </w:rPr>
        <w:t>van het CPS</w:t>
      </w:r>
      <w:r w:rsidR="00D0384D">
        <w:rPr>
          <w:rFonts w:eastAsia="Times New Roman"/>
        </w:rPr>
        <w:t xml:space="preserve"> 2,2 %. </w:t>
      </w:r>
      <w:proofErr w:type="spellStart"/>
      <w:r w:rsidR="00D0384D">
        <w:rPr>
          <w:rFonts w:eastAsia="Times New Roman"/>
        </w:rPr>
        <w:t>ABN-Amro</w:t>
      </w:r>
      <w:proofErr w:type="spellEnd"/>
      <w:r w:rsidR="00D0384D">
        <w:rPr>
          <w:rFonts w:eastAsia="Times New Roman"/>
        </w:rPr>
        <w:t>: 3,8%. Daarbij is bovenkant van de bandbreedte gekozen: 3,5%.</w:t>
      </w:r>
      <w:r>
        <w:rPr>
          <w:rFonts w:eastAsia="Times New Roman"/>
        </w:rPr>
        <w:t xml:space="preserve"> </w:t>
      </w:r>
      <w:r w:rsidRPr="00351D26">
        <w:rPr>
          <w:rFonts w:eastAsia="Times New Roman"/>
          <w:u w:val="single"/>
        </w:rPr>
        <w:t>Brigitte:</w:t>
      </w:r>
      <w:r>
        <w:rPr>
          <w:rFonts w:eastAsia="Times New Roman"/>
        </w:rPr>
        <w:t xml:space="preserve"> werkelijk prijsstijgingen zijn veel hoger.</w:t>
      </w:r>
    </w:p>
    <w:p w14:paraId="781816FA" w14:textId="09E84AF0" w:rsidR="00995EE8" w:rsidRDefault="004637BE" w:rsidP="00F51B81">
      <w:pPr>
        <w:spacing w:after="240"/>
        <w:rPr>
          <w:rFonts w:eastAsia="Times New Roman"/>
        </w:rPr>
      </w:pPr>
      <w:r w:rsidRPr="006923B2">
        <w:rPr>
          <w:u w:val="single"/>
        </w:rPr>
        <w:t>IenW</w:t>
      </w:r>
      <w:r w:rsidRPr="006923B2">
        <w:t>: Indien de tariefontwikkeling van alle stad- en streekconcessies sinds 2019 de LTI gevolgd heeft, zijn die tarieven in 2023 12,74% hoger. De TVOV-index bedraagt 16,49%. Dus zijn de daadwerkelijke opbrengsten lager dan bij bepalen van de maximale TVOV is verondersteld. Gevolg is dat de maximale TVOV is iets lager is dan wanneer de reële tariefontwikkeling in de veronderstelde directe reizigersopbrengsten zou zijn meegewogen maar daar tegenover staat dat een concessie wat langer de maximum subsidie kan ontvangen als je dit bekijkt vanuit het perspectief van de gerealiseerde inkomsten. IenW benadrukt dat bij alle kosten- en inkomensposten afwijkingen van de TVOV-index mogelijk zijn, zowel</w:t>
      </w:r>
      <w:r>
        <w:t xml:space="preserve"> naar boven als naar onderen.</w:t>
      </w:r>
      <w:r w:rsidR="00C3690F">
        <w:rPr>
          <w:rFonts w:eastAsia="Times New Roman"/>
        </w:rPr>
        <w:t xml:space="preserve"> </w:t>
      </w:r>
    </w:p>
    <w:p w14:paraId="1CA8DE4E" w14:textId="33AE448E" w:rsidR="001F69ED" w:rsidRDefault="003F0A1D" w:rsidP="006E1AB6">
      <w:pPr>
        <w:spacing w:after="240"/>
        <w:rPr>
          <w:rFonts w:eastAsia="Times New Roman"/>
        </w:rPr>
      </w:pPr>
      <w:r w:rsidRPr="003F0A1D">
        <w:rPr>
          <w:rFonts w:eastAsia="Times New Roman"/>
          <w:u w:val="single"/>
        </w:rPr>
        <w:t>B</w:t>
      </w:r>
      <w:r w:rsidR="00BF2D67" w:rsidRPr="003F0A1D">
        <w:rPr>
          <w:rFonts w:eastAsia="Times New Roman"/>
          <w:u w:val="single"/>
        </w:rPr>
        <w:t>rigitte:</w:t>
      </w:r>
      <w:r w:rsidR="00BF2D67">
        <w:rPr>
          <w:rFonts w:eastAsia="Times New Roman"/>
        </w:rPr>
        <w:t xml:space="preserve"> </w:t>
      </w:r>
      <w:r w:rsidR="00A23A20">
        <w:rPr>
          <w:rFonts w:eastAsia="Times New Roman"/>
        </w:rPr>
        <w:t xml:space="preserve">De </w:t>
      </w:r>
      <w:r w:rsidR="004503AB">
        <w:rPr>
          <w:rFonts w:eastAsia="Times New Roman"/>
        </w:rPr>
        <w:t>Hoekse lijn</w:t>
      </w:r>
      <w:r>
        <w:rPr>
          <w:rFonts w:eastAsia="Times New Roman"/>
        </w:rPr>
        <w:t xml:space="preserve"> </w:t>
      </w:r>
      <w:r w:rsidR="00A23A20">
        <w:rPr>
          <w:rFonts w:eastAsia="Times New Roman"/>
        </w:rPr>
        <w:t xml:space="preserve">is </w:t>
      </w:r>
      <w:r>
        <w:rPr>
          <w:rFonts w:eastAsia="Times New Roman"/>
        </w:rPr>
        <w:t>eind 2019 in gebruik genomen</w:t>
      </w:r>
      <w:r w:rsidR="004503AB">
        <w:rPr>
          <w:rFonts w:eastAsia="Times New Roman"/>
        </w:rPr>
        <w:t>.</w:t>
      </w:r>
      <w:r w:rsidR="00AF24AE">
        <w:rPr>
          <w:rFonts w:eastAsia="Times New Roman"/>
        </w:rPr>
        <w:t xml:space="preserve"> Dit leidt tot</w:t>
      </w:r>
      <w:r w:rsidR="004503AB">
        <w:rPr>
          <w:rFonts w:eastAsia="Times New Roman"/>
        </w:rPr>
        <w:t xml:space="preserve"> </w:t>
      </w:r>
      <w:r w:rsidR="00AF24AE">
        <w:rPr>
          <w:rFonts w:eastAsia="Times New Roman"/>
        </w:rPr>
        <w:t>h</w:t>
      </w:r>
      <w:r w:rsidR="004503AB">
        <w:rPr>
          <w:rFonts w:eastAsia="Times New Roman"/>
        </w:rPr>
        <w:t>ogere kosten en hogere opbrengsten.</w:t>
      </w:r>
      <w:r>
        <w:rPr>
          <w:rFonts w:eastAsia="Times New Roman"/>
        </w:rPr>
        <w:t xml:space="preserve"> </w:t>
      </w:r>
      <w:r w:rsidR="00AF24AE">
        <w:rPr>
          <w:rFonts w:eastAsia="Times New Roman"/>
        </w:rPr>
        <w:t>Alleen de hogere directe reizigersopbrengsten werken door in de TVOV. Gevolg</w:t>
      </w:r>
      <w:r w:rsidR="001F69ED">
        <w:rPr>
          <w:rFonts w:eastAsia="Times New Roman"/>
        </w:rPr>
        <w:t xml:space="preserve"> is </w:t>
      </w:r>
      <w:r w:rsidR="007B0D79">
        <w:rPr>
          <w:rFonts w:eastAsia="Times New Roman"/>
        </w:rPr>
        <w:t>minder TVOV.</w:t>
      </w:r>
      <w:r w:rsidR="007C4544">
        <w:rPr>
          <w:rFonts w:eastAsia="Times New Roman"/>
        </w:rPr>
        <w:t xml:space="preserve"> Kan de berekening worden aangepast?</w:t>
      </w:r>
      <w:r w:rsidR="007B0D79">
        <w:rPr>
          <w:rFonts w:eastAsia="Times New Roman"/>
        </w:rPr>
        <w:t xml:space="preserve"> </w:t>
      </w:r>
      <w:r w:rsidR="0033509B" w:rsidRPr="0033509B">
        <w:rPr>
          <w:rFonts w:eastAsia="Times New Roman"/>
          <w:u w:val="single"/>
        </w:rPr>
        <w:t>Bart</w:t>
      </w:r>
      <w:r w:rsidR="0033509B">
        <w:rPr>
          <w:rFonts w:eastAsia="Times New Roman"/>
        </w:rPr>
        <w:t>:</w:t>
      </w:r>
      <w:r w:rsidR="007C4544">
        <w:rPr>
          <w:rFonts w:eastAsia="Times New Roman"/>
        </w:rPr>
        <w:t xml:space="preserve"> Daar</w:t>
      </w:r>
      <w:r w:rsidR="0033509B">
        <w:rPr>
          <w:rFonts w:eastAsia="Times New Roman"/>
        </w:rPr>
        <w:t xml:space="preserve"> wordt</w:t>
      </w:r>
      <w:r w:rsidR="006027A6">
        <w:rPr>
          <w:rFonts w:eastAsia="Times New Roman"/>
        </w:rPr>
        <w:t>, net als bij de BVOV,</w:t>
      </w:r>
      <w:r w:rsidR="0033509B">
        <w:rPr>
          <w:rFonts w:eastAsia="Times New Roman"/>
        </w:rPr>
        <w:t xml:space="preserve"> geen rekening mee gehouden.</w:t>
      </w:r>
    </w:p>
    <w:p w14:paraId="5FB4E80D" w14:textId="2D82A47C" w:rsidR="001F69ED" w:rsidRDefault="0033509B" w:rsidP="006E1AB6">
      <w:pPr>
        <w:spacing w:after="240"/>
        <w:rPr>
          <w:rFonts w:eastAsia="Times New Roman"/>
        </w:rPr>
      </w:pPr>
      <w:r w:rsidRPr="007C4544">
        <w:rPr>
          <w:rFonts w:eastAsia="Times New Roman"/>
          <w:u w:val="single"/>
        </w:rPr>
        <w:t>Brigitte</w:t>
      </w:r>
      <w:r w:rsidR="00A2684B" w:rsidRPr="007C4544">
        <w:rPr>
          <w:rFonts w:eastAsia="Times New Roman"/>
          <w:u w:val="single"/>
        </w:rPr>
        <w:t>:</w:t>
      </w:r>
      <w:r w:rsidR="00A2684B">
        <w:rPr>
          <w:rFonts w:eastAsia="Times New Roman"/>
        </w:rPr>
        <w:t xml:space="preserve"> </w:t>
      </w:r>
      <w:r w:rsidR="007C4544">
        <w:rPr>
          <w:rFonts w:eastAsia="Times New Roman"/>
        </w:rPr>
        <w:t>Voor concessies met een dalende exploitatiesubsidie (grote steden)</w:t>
      </w:r>
      <w:r w:rsidR="00A23A20">
        <w:rPr>
          <w:rFonts w:eastAsia="Times New Roman"/>
        </w:rPr>
        <w:t>:</w:t>
      </w:r>
      <w:r w:rsidR="007C4544">
        <w:rPr>
          <w:rFonts w:eastAsia="Times New Roman"/>
        </w:rPr>
        <w:t xml:space="preserve"> Is</w:t>
      </w:r>
      <w:r w:rsidR="00A23A20">
        <w:rPr>
          <w:rFonts w:eastAsia="Times New Roman"/>
        </w:rPr>
        <w:t xml:space="preserve"> het</w:t>
      </w:r>
      <w:r w:rsidR="007C4544">
        <w:rPr>
          <w:rFonts w:eastAsia="Times New Roman"/>
        </w:rPr>
        <w:t xml:space="preserve"> bespreekbaar dat </w:t>
      </w:r>
      <w:r w:rsidR="00F308FA">
        <w:rPr>
          <w:rFonts w:eastAsia="Times New Roman"/>
        </w:rPr>
        <w:t xml:space="preserve">naast de directe reizigersopbrengsten ook andere opbrengsten een rol spelen, zodat het effect van het </w:t>
      </w:r>
      <w:r w:rsidR="00A23A20">
        <w:rPr>
          <w:rFonts w:eastAsia="Times New Roman"/>
        </w:rPr>
        <w:t xml:space="preserve">jaarlijks </w:t>
      </w:r>
      <w:r w:rsidR="00F308FA">
        <w:rPr>
          <w:rFonts w:eastAsia="Times New Roman"/>
        </w:rPr>
        <w:t>lagere subsidiebedrag (tot</w:t>
      </w:r>
      <w:r w:rsidR="00A23A20">
        <w:rPr>
          <w:rFonts w:eastAsia="Times New Roman"/>
        </w:rPr>
        <w:t xml:space="preserve"> zelfs</w:t>
      </w:r>
      <w:r w:rsidR="00F308FA">
        <w:rPr>
          <w:rFonts w:eastAsia="Times New Roman"/>
        </w:rPr>
        <w:t xml:space="preserve"> een negatieve exploitatievergoeding) </w:t>
      </w:r>
      <w:r w:rsidR="00196FF1">
        <w:rPr>
          <w:rFonts w:eastAsia="Times New Roman"/>
        </w:rPr>
        <w:t xml:space="preserve">in de TVOV kan worden meegenomen, </w:t>
      </w:r>
      <w:r w:rsidR="00A23A20">
        <w:rPr>
          <w:rFonts w:eastAsia="Times New Roman"/>
        </w:rPr>
        <w:t xml:space="preserve">met als uitgangspunt dat de </w:t>
      </w:r>
      <w:r w:rsidR="00196FF1">
        <w:rPr>
          <w:rFonts w:eastAsia="Times New Roman"/>
        </w:rPr>
        <w:t xml:space="preserve">o.b.v. de referentie berekende maximale </w:t>
      </w:r>
      <w:r w:rsidR="008C40D1">
        <w:rPr>
          <w:rFonts w:eastAsia="Times New Roman"/>
        </w:rPr>
        <w:t>TVOV</w:t>
      </w:r>
      <w:r w:rsidR="00A23A20">
        <w:rPr>
          <w:rFonts w:eastAsia="Times New Roman"/>
        </w:rPr>
        <w:t>,</w:t>
      </w:r>
      <w:r w:rsidR="00196FF1">
        <w:rPr>
          <w:rFonts w:eastAsia="Times New Roman"/>
        </w:rPr>
        <w:t xml:space="preserve"> niet wordt overschreden.</w:t>
      </w:r>
      <w:r w:rsidR="00CA126D">
        <w:rPr>
          <w:rFonts w:eastAsia="Times New Roman"/>
        </w:rPr>
        <w:t xml:space="preserve"> Wij willen dus alleen dat het ons toekomende deel van de 150 mln ook daadwerkelijk kan worden uitgekeerd. </w:t>
      </w:r>
      <w:r w:rsidR="006027A6" w:rsidRPr="00F955C3">
        <w:rPr>
          <w:rFonts w:eastAsia="Times New Roman"/>
          <w:u w:val="single"/>
        </w:rPr>
        <w:t>IenW</w:t>
      </w:r>
      <w:r w:rsidR="006027A6">
        <w:rPr>
          <w:rFonts w:eastAsia="Times New Roman"/>
        </w:rPr>
        <w:t>: nee, dat zit niet in de regeling.</w:t>
      </w:r>
    </w:p>
    <w:p w14:paraId="69F7E2BE" w14:textId="5D389AB1" w:rsidR="00BF2D67" w:rsidRPr="00F955C3" w:rsidRDefault="00D1418A" w:rsidP="006E1AB6">
      <w:pPr>
        <w:spacing w:after="240"/>
        <w:rPr>
          <w:rFonts w:eastAsia="Times New Roman"/>
          <w:u w:val="single"/>
        </w:rPr>
      </w:pPr>
      <w:proofErr w:type="spellStart"/>
      <w:r w:rsidRPr="00D1418A">
        <w:rPr>
          <w:rFonts w:eastAsia="Times New Roman"/>
          <w:u w:val="single"/>
        </w:rPr>
        <w:t>D</w:t>
      </w:r>
      <w:r w:rsidR="00821B61" w:rsidRPr="00D1418A">
        <w:rPr>
          <w:rFonts w:eastAsia="Times New Roman"/>
          <w:u w:val="single"/>
        </w:rPr>
        <w:t>omingos</w:t>
      </w:r>
      <w:proofErr w:type="spellEnd"/>
      <w:r w:rsidR="00821B61">
        <w:rPr>
          <w:rFonts w:eastAsia="Times New Roman"/>
        </w:rPr>
        <w:t>:</w:t>
      </w:r>
      <w:r w:rsidR="009F567F">
        <w:rPr>
          <w:rFonts w:eastAsia="Times New Roman"/>
        </w:rPr>
        <w:t xml:space="preserve"> </w:t>
      </w:r>
      <w:r w:rsidR="00A23A20">
        <w:rPr>
          <w:rFonts w:eastAsia="Times New Roman"/>
        </w:rPr>
        <w:t xml:space="preserve">Dat voor Hoekse Lijn geen oplossing wordt geboden, raakt de </w:t>
      </w:r>
      <w:r w:rsidR="009F567F">
        <w:rPr>
          <w:rFonts w:eastAsia="Times New Roman"/>
        </w:rPr>
        <w:t>RET sterk</w:t>
      </w:r>
      <w:r w:rsidR="00D211E0">
        <w:rPr>
          <w:rFonts w:eastAsia="Times New Roman"/>
        </w:rPr>
        <w:t xml:space="preserve">. </w:t>
      </w:r>
      <w:r w:rsidR="00A23A20">
        <w:rPr>
          <w:rFonts w:eastAsia="Times New Roman"/>
        </w:rPr>
        <w:t>RET k</w:t>
      </w:r>
      <w:r w:rsidR="00D211E0">
        <w:rPr>
          <w:rFonts w:eastAsia="Times New Roman"/>
        </w:rPr>
        <w:t>rijgt op deze wijze hoogstwaarschijnlijk geen TVOV</w:t>
      </w:r>
      <w:r w:rsidR="00414023">
        <w:rPr>
          <w:rFonts w:eastAsia="Times New Roman"/>
        </w:rPr>
        <w:t xml:space="preserve">. Mede door de </w:t>
      </w:r>
      <w:r w:rsidR="007C5FAB">
        <w:rPr>
          <w:rFonts w:eastAsia="Times New Roman"/>
        </w:rPr>
        <w:t xml:space="preserve">meeropbrengsten </w:t>
      </w:r>
      <w:r w:rsidR="00353FEE">
        <w:rPr>
          <w:rFonts w:eastAsia="Times New Roman"/>
        </w:rPr>
        <w:t xml:space="preserve">vanaf de </w:t>
      </w:r>
      <w:r w:rsidR="00414023">
        <w:rPr>
          <w:rFonts w:eastAsia="Times New Roman"/>
        </w:rPr>
        <w:t xml:space="preserve">start </w:t>
      </w:r>
      <w:r w:rsidR="00353FEE">
        <w:rPr>
          <w:rFonts w:eastAsia="Times New Roman"/>
        </w:rPr>
        <w:t xml:space="preserve">van de </w:t>
      </w:r>
      <w:r w:rsidR="00414023">
        <w:rPr>
          <w:rFonts w:eastAsia="Times New Roman"/>
        </w:rPr>
        <w:t xml:space="preserve">exploitatie van de </w:t>
      </w:r>
      <w:proofErr w:type="spellStart"/>
      <w:r w:rsidR="00414023">
        <w:rPr>
          <w:rFonts w:eastAsia="Times New Roman"/>
        </w:rPr>
        <w:t>Hoekselijn</w:t>
      </w:r>
      <w:proofErr w:type="spellEnd"/>
      <w:r w:rsidR="00414023">
        <w:rPr>
          <w:rFonts w:eastAsia="Times New Roman"/>
        </w:rPr>
        <w:t xml:space="preserve">, komt men uit op </w:t>
      </w:r>
      <w:r w:rsidR="00D211E0">
        <w:rPr>
          <w:rFonts w:eastAsia="Times New Roman"/>
        </w:rPr>
        <w:t>92 tot 98%</w:t>
      </w:r>
      <w:r w:rsidR="00A23A20">
        <w:rPr>
          <w:rFonts w:eastAsia="Times New Roman"/>
        </w:rPr>
        <w:t xml:space="preserve"> verwacht</w:t>
      </w:r>
      <w:r w:rsidR="00414023">
        <w:rPr>
          <w:rFonts w:eastAsia="Times New Roman"/>
        </w:rPr>
        <w:t>e</w:t>
      </w:r>
      <w:r w:rsidR="00FA09B8">
        <w:rPr>
          <w:rFonts w:eastAsia="Times New Roman"/>
        </w:rPr>
        <w:t xml:space="preserve"> </w:t>
      </w:r>
      <w:proofErr w:type="spellStart"/>
      <w:r w:rsidR="006027A6">
        <w:rPr>
          <w:rFonts w:eastAsia="Times New Roman"/>
        </w:rPr>
        <w:t>r</w:t>
      </w:r>
      <w:r w:rsidR="00FA09B8">
        <w:rPr>
          <w:rFonts w:eastAsia="Times New Roman"/>
        </w:rPr>
        <w:t>eizigersopbrengstherstel</w:t>
      </w:r>
      <w:proofErr w:type="spellEnd"/>
      <w:r w:rsidR="00414023">
        <w:rPr>
          <w:rFonts w:eastAsia="Times New Roman"/>
        </w:rPr>
        <w:t xml:space="preserve">. </w:t>
      </w:r>
      <w:r w:rsidR="009F567F">
        <w:rPr>
          <w:rFonts w:eastAsia="Times New Roman"/>
        </w:rPr>
        <w:t>Indien</w:t>
      </w:r>
      <w:r w:rsidR="003843AF">
        <w:rPr>
          <w:rFonts w:eastAsia="Times New Roman"/>
        </w:rPr>
        <w:t xml:space="preserve"> de</w:t>
      </w:r>
      <w:r w:rsidR="009F567F">
        <w:rPr>
          <w:rFonts w:eastAsia="Times New Roman"/>
        </w:rPr>
        <w:t xml:space="preserve"> Hoekse Lijn</w:t>
      </w:r>
      <w:r w:rsidR="00821B61">
        <w:rPr>
          <w:rFonts w:eastAsia="Times New Roman"/>
        </w:rPr>
        <w:t xml:space="preserve"> in </w:t>
      </w:r>
      <w:r w:rsidR="003843AF">
        <w:rPr>
          <w:rFonts w:eastAsia="Times New Roman"/>
        </w:rPr>
        <w:t xml:space="preserve">een </w:t>
      </w:r>
      <w:r w:rsidR="00821B61">
        <w:rPr>
          <w:rFonts w:eastAsia="Times New Roman"/>
        </w:rPr>
        <w:t>andere concessie was opgezet, hadden we dit probleem niet gehad.</w:t>
      </w:r>
      <w:r w:rsidR="00424176">
        <w:rPr>
          <w:rFonts w:eastAsia="Times New Roman"/>
        </w:rPr>
        <w:t xml:space="preserve"> Dat pleit toch voor een nuancering van de regeling</w:t>
      </w:r>
      <w:r w:rsidR="003843AF">
        <w:rPr>
          <w:rFonts w:eastAsia="Times New Roman"/>
        </w:rPr>
        <w:t>?</w:t>
      </w:r>
      <w:r w:rsidR="00622F12">
        <w:rPr>
          <w:rFonts w:eastAsia="Times New Roman"/>
        </w:rPr>
        <w:t xml:space="preserve"> Dit zal</w:t>
      </w:r>
      <w:r w:rsidR="003843AF">
        <w:rPr>
          <w:rFonts w:eastAsia="Times New Roman"/>
        </w:rPr>
        <w:t xml:space="preserve"> anders</w:t>
      </w:r>
      <w:r w:rsidR="00622F12">
        <w:rPr>
          <w:rFonts w:eastAsia="Times New Roman"/>
        </w:rPr>
        <w:t xml:space="preserve"> leiden tot afschaling van de </w:t>
      </w:r>
      <w:r w:rsidR="0083741D">
        <w:rPr>
          <w:rFonts w:eastAsia="Times New Roman"/>
        </w:rPr>
        <w:t>dienstregeling in Rotterdam.</w:t>
      </w:r>
      <w:r w:rsidR="006027A6">
        <w:rPr>
          <w:rFonts w:eastAsia="Times New Roman"/>
        </w:rPr>
        <w:t xml:space="preserve"> </w:t>
      </w:r>
      <w:r w:rsidR="006027A6">
        <w:rPr>
          <w:rFonts w:eastAsia="Times New Roman"/>
          <w:u w:val="single"/>
        </w:rPr>
        <w:t xml:space="preserve">IenW: deze casus en andere gevallen van kostenstijgingen t.o.v. het referentiejaar zijn ook </w:t>
      </w:r>
      <w:proofErr w:type="spellStart"/>
      <w:r w:rsidR="006027A6">
        <w:rPr>
          <w:rFonts w:eastAsia="Times New Roman"/>
          <w:u w:val="single"/>
        </w:rPr>
        <w:t>i.h.k.v</w:t>
      </w:r>
      <w:proofErr w:type="spellEnd"/>
      <w:r w:rsidR="006027A6">
        <w:rPr>
          <w:rFonts w:eastAsia="Times New Roman"/>
          <w:u w:val="single"/>
        </w:rPr>
        <w:t>. de BVOV besproken. We kunnen daar geen rekening mee houden.</w:t>
      </w:r>
    </w:p>
    <w:p w14:paraId="011F4272" w14:textId="41FB2735" w:rsidR="00345D31" w:rsidRPr="0083741D" w:rsidRDefault="00345D31" w:rsidP="00345D31">
      <w:pPr>
        <w:numPr>
          <w:ilvl w:val="0"/>
          <w:numId w:val="1"/>
        </w:numPr>
        <w:spacing w:after="240"/>
        <w:rPr>
          <w:rFonts w:eastAsia="Times New Roman"/>
          <w:u w:val="single"/>
        </w:rPr>
      </w:pPr>
      <w:r w:rsidRPr="0083741D">
        <w:rPr>
          <w:rFonts w:eastAsia="Times New Roman"/>
          <w:u w:val="single"/>
        </w:rPr>
        <w:t>Stand van zaken verantwoording bvov 2020, 2021 en aanvragen regeling 2022</w:t>
      </w:r>
    </w:p>
    <w:p w14:paraId="3F970FEB" w14:textId="588387EC" w:rsidR="00C22CD3" w:rsidRDefault="009828BD" w:rsidP="007C5FAB">
      <w:pPr>
        <w:spacing w:after="240"/>
        <w:rPr>
          <w:rFonts w:eastAsia="Times New Roman"/>
          <w:i/>
          <w:iCs/>
        </w:rPr>
      </w:pPr>
      <w:r w:rsidRPr="00242A95">
        <w:rPr>
          <w:rFonts w:eastAsia="Times New Roman"/>
        </w:rPr>
        <w:t xml:space="preserve">Aanvragen </w:t>
      </w:r>
      <w:r>
        <w:rPr>
          <w:rFonts w:eastAsia="Times New Roman"/>
        </w:rPr>
        <w:t xml:space="preserve">BVOV </w:t>
      </w:r>
      <w:r w:rsidRPr="00242A95">
        <w:rPr>
          <w:rFonts w:eastAsia="Times New Roman"/>
        </w:rPr>
        <w:t>202</w:t>
      </w:r>
      <w:r>
        <w:rPr>
          <w:rFonts w:eastAsia="Times New Roman"/>
        </w:rPr>
        <w:t>2</w:t>
      </w:r>
      <w:r w:rsidRPr="00242A95">
        <w:rPr>
          <w:rFonts w:eastAsia="Times New Roman"/>
        </w:rPr>
        <w:t xml:space="preserve">: </w:t>
      </w:r>
      <w:r>
        <w:rPr>
          <w:rFonts w:eastAsia="Times New Roman"/>
        </w:rPr>
        <w:t>HRN/</w:t>
      </w:r>
      <w:r w:rsidRPr="00242A95">
        <w:t xml:space="preserve">NS en VRA </w:t>
      </w:r>
      <w:r>
        <w:t>(</w:t>
      </w:r>
      <w:r w:rsidRPr="00242A95">
        <w:t xml:space="preserve">alleen </w:t>
      </w:r>
      <w:r>
        <w:t xml:space="preserve">voor </w:t>
      </w:r>
      <w:r w:rsidRPr="00242A95">
        <w:t>GVB</w:t>
      </w:r>
      <w:r>
        <w:t>)</w:t>
      </w:r>
      <w:r w:rsidRPr="00242A95">
        <w:t xml:space="preserve"> en MRDH (</w:t>
      </w:r>
      <w:r>
        <w:t>HTM</w:t>
      </w:r>
      <w:r w:rsidRPr="00242A95">
        <w:t xml:space="preserve"> en 2 streekconce</w:t>
      </w:r>
      <w:r>
        <w:t>s</w:t>
      </w:r>
      <w:r w:rsidRPr="00242A95">
        <w:t>sies</w:t>
      </w:r>
      <w:r>
        <w:t xml:space="preserve">, dus nog niet RET). </w:t>
      </w:r>
      <w:proofErr w:type="spellStart"/>
      <w:r w:rsidR="007C5FAB">
        <w:t>Domingos</w:t>
      </w:r>
      <w:proofErr w:type="spellEnd"/>
      <w:r w:rsidR="007C5FAB">
        <w:t xml:space="preserve">: Aanvraag RET kan via MRDH medio september bij IenW liggen. </w:t>
      </w:r>
    </w:p>
    <w:p w14:paraId="2744BF98" w14:textId="1D9A95A6" w:rsidR="00345D31" w:rsidRPr="0083741D" w:rsidRDefault="00345D31" w:rsidP="00345D31">
      <w:pPr>
        <w:numPr>
          <w:ilvl w:val="0"/>
          <w:numId w:val="1"/>
        </w:numPr>
        <w:spacing w:after="240"/>
        <w:rPr>
          <w:rFonts w:eastAsia="Times New Roman"/>
          <w:u w:val="single"/>
        </w:rPr>
      </w:pPr>
      <w:proofErr w:type="spellStart"/>
      <w:r w:rsidRPr="0083741D">
        <w:rPr>
          <w:rFonts w:eastAsia="Times New Roman"/>
          <w:u w:val="single"/>
        </w:rPr>
        <w:t>Wvttk</w:t>
      </w:r>
      <w:proofErr w:type="spellEnd"/>
    </w:p>
    <w:p w14:paraId="09B50B5C" w14:textId="23D7FDB9" w:rsidR="00200009" w:rsidRPr="00200009" w:rsidRDefault="003D078B" w:rsidP="00200009">
      <w:pPr>
        <w:spacing w:after="240"/>
        <w:rPr>
          <w:rFonts w:eastAsia="Times New Roman"/>
        </w:rPr>
      </w:pPr>
      <w:r>
        <w:rPr>
          <w:rFonts w:eastAsia="Times New Roman"/>
        </w:rPr>
        <w:t xml:space="preserve">Gijsbert: </w:t>
      </w:r>
      <w:r w:rsidR="00353FEE">
        <w:rPr>
          <w:rFonts w:eastAsia="Times New Roman"/>
        </w:rPr>
        <w:t xml:space="preserve">Het </w:t>
      </w:r>
      <w:r>
        <w:rPr>
          <w:rFonts w:eastAsia="Times New Roman"/>
        </w:rPr>
        <w:t>controleprotocol  2022 moet</w:t>
      </w:r>
      <w:r w:rsidR="00353FEE">
        <w:rPr>
          <w:rFonts w:eastAsia="Times New Roman"/>
        </w:rPr>
        <w:t xml:space="preserve"> sneller dan vorig jaar</w:t>
      </w:r>
      <w:r>
        <w:rPr>
          <w:rFonts w:eastAsia="Times New Roman"/>
        </w:rPr>
        <w:t xml:space="preserve"> worden opgestel</w:t>
      </w:r>
      <w:r w:rsidR="00353FEE">
        <w:rPr>
          <w:rFonts w:eastAsia="Times New Roman"/>
        </w:rPr>
        <w:t>d, omdat het</w:t>
      </w:r>
      <w:r>
        <w:rPr>
          <w:rFonts w:eastAsia="Times New Roman"/>
        </w:rPr>
        <w:t xml:space="preserve"> </w:t>
      </w:r>
      <w:proofErr w:type="spellStart"/>
      <w:r>
        <w:rPr>
          <w:rFonts w:eastAsia="Times New Roman"/>
        </w:rPr>
        <w:t>Copro</w:t>
      </w:r>
      <w:proofErr w:type="spellEnd"/>
      <w:r w:rsidR="00353FEE">
        <w:rPr>
          <w:rFonts w:eastAsia="Times New Roman"/>
        </w:rPr>
        <w:t xml:space="preserve">-proces momenteel wat trager </w:t>
      </w:r>
      <w:r>
        <w:rPr>
          <w:rFonts w:eastAsia="Times New Roman"/>
        </w:rPr>
        <w:t>loopt</w:t>
      </w:r>
      <w:r w:rsidR="00353FEE">
        <w:rPr>
          <w:rFonts w:eastAsia="Times New Roman"/>
        </w:rPr>
        <w:t>. Hij zal een voorzet doen die na verdere interne bespreking IenW in deze werkgroep aan de orde zal worden gesteld.</w:t>
      </w:r>
      <w:r w:rsidR="00C41152">
        <w:rPr>
          <w:rFonts w:eastAsia="Times New Roman"/>
        </w:rPr>
        <w:t xml:space="preserve"> </w:t>
      </w:r>
    </w:p>
    <w:p w14:paraId="1376FC32" w14:textId="7635D18D" w:rsidR="00345D31" w:rsidRDefault="00345D31" w:rsidP="00345D31">
      <w:pPr>
        <w:numPr>
          <w:ilvl w:val="0"/>
          <w:numId w:val="1"/>
        </w:numPr>
        <w:spacing w:after="240"/>
        <w:rPr>
          <w:rFonts w:eastAsia="Times New Roman"/>
        </w:rPr>
      </w:pPr>
      <w:r>
        <w:rPr>
          <w:rFonts w:eastAsia="Times New Roman"/>
          <w:i/>
          <w:iCs/>
        </w:rPr>
        <w:t>Volgende afspraak en sluiting</w:t>
      </w:r>
    </w:p>
    <w:p w14:paraId="1A7EE738" w14:textId="77777777" w:rsidR="00505545" w:rsidRDefault="00505545" w:rsidP="00505545">
      <w:pPr>
        <w:rPr>
          <w:rFonts w:asciiTheme="minorHAnsi" w:eastAsia="Times New Roman" w:hAnsiTheme="minorHAnsi" w:cstheme="minorBidi"/>
        </w:rPr>
      </w:pPr>
    </w:p>
    <w:tbl>
      <w:tblPr>
        <w:tblStyle w:val="Tabelraster"/>
        <w:tblW w:w="9634" w:type="dxa"/>
        <w:tblInd w:w="0" w:type="dxa"/>
        <w:tblLayout w:type="fixed"/>
        <w:tblLook w:val="04A0" w:firstRow="1" w:lastRow="0" w:firstColumn="1" w:lastColumn="0" w:noHBand="0" w:noVBand="1"/>
      </w:tblPr>
      <w:tblGrid>
        <w:gridCol w:w="562"/>
        <w:gridCol w:w="2552"/>
        <w:gridCol w:w="1417"/>
        <w:gridCol w:w="993"/>
        <w:gridCol w:w="4110"/>
      </w:tblGrid>
      <w:tr w:rsidR="00EA4204" w14:paraId="35CD2186" w14:textId="54C9D981" w:rsidTr="00EA4204">
        <w:trPr>
          <w:tblHeader/>
        </w:trPr>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90C43" w14:textId="77777777" w:rsidR="00EA4204" w:rsidRDefault="00EA4204">
            <w:pPr>
              <w:rPr>
                <w:b/>
                <w:bCs/>
                <w:i/>
                <w:iCs/>
                <w:sz w:val="18"/>
                <w:szCs w:val="18"/>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833AA" w14:textId="77777777" w:rsidR="00EA4204" w:rsidRDefault="00EA4204">
            <w:pPr>
              <w:rPr>
                <w:b/>
                <w:bCs/>
                <w:i/>
                <w:iCs/>
                <w:sz w:val="18"/>
                <w:szCs w:val="18"/>
              </w:rPr>
            </w:pPr>
            <w:r>
              <w:rPr>
                <w:b/>
                <w:bCs/>
                <w:i/>
                <w:iCs/>
                <w:sz w:val="18"/>
                <w:szCs w:val="18"/>
              </w:rPr>
              <w:t>Actie/afspraak</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42EBFB" w14:textId="77777777" w:rsidR="00EA4204" w:rsidRDefault="00EA4204">
            <w:pPr>
              <w:rPr>
                <w:b/>
                <w:bCs/>
                <w:i/>
                <w:iCs/>
                <w:sz w:val="18"/>
                <w:szCs w:val="18"/>
              </w:rPr>
            </w:pPr>
            <w:r>
              <w:rPr>
                <w:b/>
                <w:bCs/>
                <w:i/>
                <w:iCs/>
                <w:sz w:val="18"/>
                <w:szCs w:val="18"/>
              </w:rPr>
              <w:t>Wie</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63D354" w14:textId="77777777" w:rsidR="00EA4204" w:rsidRDefault="00EA4204">
            <w:pPr>
              <w:rPr>
                <w:b/>
                <w:bCs/>
                <w:i/>
                <w:iCs/>
                <w:sz w:val="18"/>
                <w:szCs w:val="18"/>
              </w:rPr>
            </w:pPr>
            <w:r>
              <w:rPr>
                <w:b/>
                <w:bCs/>
                <w:i/>
                <w:iCs/>
                <w:sz w:val="18"/>
                <w:szCs w:val="18"/>
              </w:rPr>
              <w:t>Datum</w:t>
            </w:r>
          </w:p>
        </w:tc>
        <w:tc>
          <w:tcPr>
            <w:tcW w:w="41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AEFA82" w14:textId="77777777" w:rsidR="00EA4204" w:rsidRDefault="00EA4204">
            <w:pPr>
              <w:rPr>
                <w:b/>
                <w:bCs/>
                <w:i/>
                <w:iCs/>
                <w:sz w:val="18"/>
                <w:szCs w:val="18"/>
              </w:rPr>
            </w:pPr>
            <w:r>
              <w:rPr>
                <w:b/>
                <w:bCs/>
                <w:i/>
                <w:iCs/>
                <w:sz w:val="18"/>
                <w:szCs w:val="18"/>
              </w:rPr>
              <w:t>Toelichting</w:t>
            </w:r>
          </w:p>
        </w:tc>
      </w:tr>
      <w:tr w:rsidR="00B30806" w14:paraId="7BD1F783" w14:textId="77777777" w:rsidTr="00EA4204">
        <w:tc>
          <w:tcPr>
            <w:tcW w:w="562" w:type="dxa"/>
            <w:tcBorders>
              <w:top w:val="single" w:sz="4" w:space="0" w:color="auto"/>
              <w:left w:val="single" w:sz="4" w:space="0" w:color="auto"/>
              <w:bottom w:val="single" w:sz="4" w:space="0" w:color="auto"/>
              <w:right w:val="single" w:sz="4" w:space="0" w:color="auto"/>
            </w:tcBorders>
          </w:tcPr>
          <w:p w14:paraId="65AA0BC6" w14:textId="7DC57FA5" w:rsidR="00B30806" w:rsidRDefault="00B30806">
            <w:pPr>
              <w:rPr>
                <w:sz w:val="18"/>
                <w:szCs w:val="18"/>
              </w:rPr>
            </w:pPr>
            <w:r>
              <w:rPr>
                <w:sz w:val="18"/>
                <w:szCs w:val="18"/>
              </w:rPr>
              <w:t>1</w:t>
            </w:r>
          </w:p>
        </w:tc>
        <w:tc>
          <w:tcPr>
            <w:tcW w:w="2552" w:type="dxa"/>
            <w:tcBorders>
              <w:top w:val="single" w:sz="4" w:space="0" w:color="auto"/>
              <w:left w:val="single" w:sz="4" w:space="0" w:color="auto"/>
              <w:bottom w:val="single" w:sz="4" w:space="0" w:color="auto"/>
              <w:right w:val="single" w:sz="4" w:space="0" w:color="auto"/>
            </w:tcBorders>
          </w:tcPr>
          <w:p w14:paraId="479297A7" w14:textId="7DFC5348" w:rsidR="00B30806" w:rsidRDefault="00B30806">
            <w:pPr>
              <w:rPr>
                <w:sz w:val="18"/>
                <w:szCs w:val="18"/>
              </w:rPr>
            </w:pPr>
            <w:r>
              <w:rPr>
                <w:sz w:val="18"/>
                <w:szCs w:val="18"/>
              </w:rPr>
              <w:t xml:space="preserve">Doorspreken planning/ontwikkeling </w:t>
            </w:r>
            <w:proofErr w:type="spellStart"/>
            <w:r>
              <w:rPr>
                <w:sz w:val="18"/>
                <w:szCs w:val="18"/>
              </w:rPr>
              <w:t>controlerprotocol</w:t>
            </w:r>
            <w:proofErr w:type="spellEnd"/>
            <w:r>
              <w:rPr>
                <w:sz w:val="18"/>
                <w:szCs w:val="18"/>
              </w:rPr>
              <w:t xml:space="preserve"> 2022</w:t>
            </w:r>
            <w:r w:rsidR="00BE42BA">
              <w:rPr>
                <w:sz w:val="18"/>
                <w:szCs w:val="18"/>
              </w:rPr>
              <w:t xml:space="preserve">. Gijsbert doet een eerste voorstel </w:t>
            </w:r>
            <w:proofErr w:type="spellStart"/>
            <w:r w:rsidR="00BE42BA">
              <w:rPr>
                <w:sz w:val="18"/>
                <w:szCs w:val="18"/>
              </w:rPr>
              <w:t>obv</w:t>
            </w:r>
            <w:proofErr w:type="spellEnd"/>
            <w:r w:rsidR="00BE42BA">
              <w:rPr>
                <w:sz w:val="18"/>
                <w:szCs w:val="18"/>
              </w:rPr>
              <w:t xml:space="preserve"> protocol 2021</w:t>
            </w:r>
          </w:p>
        </w:tc>
        <w:tc>
          <w:tcPr>
            <w:tcW w:w="1417" w:type="dxa"/>
            <w:tcBorders>
              <w:top w:val="single" w:sz="4" w:space="0" w:color="auto"/>
              <w:left w:val="single" w:sz="4" w:space="0" w:color="auto"/>
              <w:bottom w:val="single" w:sz="4" w:space="0" w:color="auto"/>
              <w:right w:val="single" w:sz="4" w:space="0" w:color="auto"/>
            </w:tcBorders>
          </w:tcPr>
          <w:p w14:paraId="5DD0AAA6" w14:textId="08CFD067" w:rsidR="00B30806" w:rsidRDefault="00B30806">
            <w:pPr>
              <w:rPr>
                <w:sz w:val="18"/>
                <w:szCs w:val="18"/>
              </w:rPr>
            </w:pPr>
            <w:r>
              <w:rPr>
                <w:sz w:val="18"/>
                <w:szCs w:val="18"/>
              </w:rPr>
              <w:t>Gijsbert</w:t>
            </w:r>
          </w:p>
        </w:tc>
        <w:tc>
          <w:tcPr>
            <w:tcW w:w="993" w:type="dxa"/>
            <w:tcBorders>
              <w:top w:val="single" w:sz="4" w:space="0" w:color="auto"/>
              <w:left w:val="single" w:sz="4" w:space="0" w:color="auto"/>
              <w:bottom w:val="single" w:sz="4" w:space="0" w:color="auto"/>
              <w:right w:val="single" w:sz="4" w:space="0" w:color="auto"/>
            </w:tcBorders>
          </w:tcPr>
          <w:p w14:paraId="292F7900" w14:textId="4038CA5A" w:rsidR="00B30806" w:rsidRDefault="00407856">
            <w:pPr>
              <w:rPr>
                <w:sz w:val="18"/>
                <w:szCs w:val="18"/>
              </w:rPr>
            </w:pPr>
            <w:r>
              <w:rPr>
                <w:sz w:val="18"/>
                <w:szCs w:val="18"/>
              </w:rPr>
              <w:t>15</w:t>
            </w:r>
            <w:r w:rsidR="00B30806">
              <w:rPr>
                <w:sz w:val="18"/>
                <w:szCs w:val="18"/>
              </w:rPr>
              <w:t>/9/22</w:t>
            </w:r>
            <w:r>
              <w:rPr>
                <w:sz w:val="18"/>
                <w:szCs w:val="18"/>
              </w:rPr>
              <w:t xml:space="preserve"> indicatief</w:t>
            </w:r>
          </w:p>
        </w:tc>
        <w:tc>
          <w:tcPr>
            <w:tcW w:w="4110" w:type="dxa"/>
            <w:tcBorders>
              <w:top w:val="single" w:sz="4" w:space="0" w:color="auto"/>
              <w:left w:val="single" w:sz="4" w:space="0" w:color="auto"/>
              <w:bottom w:val="single" w:sz="4" w:space="0" w:color="auto"/>
              <w:right w:val="single" w:sz="4" w:space="0" w:color="auto"/>
            </w:tcBorders>
          </w:tcPr>
          <w:p w14:paraId="1D41AE8C" w14:textId="41D260FD" w:rsidR="00B30806" w:rsidRDefault="00BE42BA">
            <w:pPr>
              <w:rPr>
                <w:sz w:val="18"/>
                <w:szCs w:val="18"/>
              </w:rPr>
            </w:pPr>
            <w:r>
              <w:rPr>
                <w:sz w:val="18"/>
                <w:szCs w:val="18"/>
              </w:rPr>
              <w:t>Moet op tijd worden opgestart vanwege</w:t>
            </w:r>
            <w:r w:rsidR="00407856">
              <w:rPr>
                <w:sz w:val="18"/>
                <w:szCs w:val="18"/>
              </w:rPr>
              <w:t xml:space="preserve"> </w:t>
            </w:r>
            <w:r w:rsidR="00166D26">
              <w:rPr>
                <w:sz w:val="18"/>
                <w:szCs w:val="18"/>
              </w:rPr>
              <w:t xml:space="preserve">doorlooptijd behandeling door </w:t>
            </w:r>
            <w:r w:rsidR="00166D26" w:rsidRPr="00166D26">
              <w:rPr>
                <w:sz w:val="18"/>
                <w:szCs w:val="18"/>
              </w:rPr>
              <w:t>werkgroep Controleprotocollen (COPRO)</w:t>
            </w:r>
          </w:p>
        </w:tc>
      </w:tr>
      <w:tr w:rsidR="00EA4204" w14:paraId="5AFAF194" w14:textId="716258A1" w:rsidTr="00EA4204">
        <w:tc>
          <w:tcPr>
            <w:tcW w:w="562" w:type="dxa"/>
            <w:tcBorders>
              <w:top w:val="single" w:sz="4" w:space="0" w:color="auto"/>
              <w:left w:val="single" w:sz="4" w:space="0" w:color="auto"/>
              <w:bottom w:val="single" w:sz="4" w:space="0" w:color="auto"/>
              <w:right w:val="single" w:sz="4" w:space="0" w:color="auto"/>
            </w:tcBorders>
            <w:hideMark/>
          </w:tcPr>
          <w:p w14:paraId="3BAD13E9" w14:textId="55A032B0" w:rsidR="00EA4204" w:rsidRDefault="00DD2F65">
            <w:pPr>
              <w:rPr>
                <w:sz w:val="18"/>
                <w:szCs w:val="18"/>
              </w:rPr>
            </w:pPr>
            <w:r>
              <w:rPr>
                <w:sz w:val="18"/>
                <w:szCs w:val="18"/>
              </w:rPr>
              <w:t>2</w:t>
            </w:r>
          </w:p>
        </w:tc>
        <w:tc>
          <w:tcPr>
            <w:tcW w:w="2552" w:type="dxa"/>
            <w:tcBorders>
              <w:top w:val="single" w:sz="4" w:space="0" w:color="auto"/>
              <w:left w:val="single" w:sz="4" w:space="0" w:color="auto"/>
              <w:bottom w:val="single" w:sz="4" w:space="0" w:color="auto"/>
              <w:right w:val="single" w:sz="4" w:space="0" w:color="auto"/>
            </w:tcBorders>
            <w:hideMark/>
          </w:tcPr>
          <w:p w14:paraId="79E1A077" w14:textId="23D5C94E" w:rsidR="00EA4204" w:rsidRDefault="00EA4204">
            <w:pPr>
              <w:rPr>
                <w:sz w:val="18"/>
                <w:szCs w:val="18"/>
              </w:rPr>
            </w:pPr>
            <w:r>
              <w:rPr>
                <w:sz w:val="18"/>
                <w:szCs w:val="18"/>
              </w:rPr>
              <w:t xml:space="preserve">Decentrale concessieverleners informeren over proces </w:t>
            </w:r>
            <w:r w:rsidR="00470061">
              <w:rPr>
                <w:sz w:val="18"/>
                <w:szCs w:val="18"/>
              </w:rPr>
              <w:t>dat</w:t>
            </w:r>
            <w:r>
              <w:rPr>
                <w:sz w:val="18"/>
                <w:szCs w:val="18"/>
              </w:rPr>
              <w:t xml:space="preserve"> nodig is om tot vaststelling te komen </w:t>
            </w:r>
          </w:p>
        </w:tc>
        <w:tc>
          <w:tcPr>
            <w:tcW w:w="1417" w:type="dxa"/>
            <w:tcBorders>
              <w:top w:val="single" w:sz="4" w:space="0" w:color="auto"/>
              <w:left w:val="single" w:sz="4" w:space="0" w:color="auto"/>
              <w:bottom w:val="single" w:sz="4" w:space="0" w:color="auto"/>
              <w:right w:val="single" w:sz="4" w:space="0" w:color="auto"/>
            </w:tcBorders>
            <w:hideMark/>
          </w:tcPr>
          <w:p w14:paraId="5FD5F8BA" w14:textId="119E61ED" w:rsidR="00EA4204" w:rsidRDefault="00EA4204">
            <w:pPr>
              <w:rPr>
                <w:sz w:val="18"/>
                <w:szCs w:val="18"/>
              </w:rPr>
            </w:pPr>
            <w:r>
              <w:rPr>
                <w:sz w:val="18"/>
                <w:szCs w:val="18"/>
              </w:rPr>
              <w:t>Ariens</w:t>
            </w:r>
            <w:r w:rsidR="00480A58">
              <w:rPr>
                <w:sz w:val="18"/>
                <w:szCs w:val="18"/>
              </w:rPr>
              <w:t>, Rob</w:t>
            </w:r>
          </w:p>
        </w:tc>
        <w:tc>
          <w:tcPr>
            <w:tcW w:w="993" w:type="dxa"/>
            <w:tcBorders>
              <w:top w:val="single" w:sz="4" w:space="0" w:color="auto"/>
              <w:left w:val="single" w:sz="4" w:space="0" w:color="auto"/>
              <w:bottom w:val="single" w:sz="4" w:space="0" w:color="auto"/>
              <w:right w:val="single" w:sz="4" w:space="0" w:color="auto"/>
            </w:tcBorders>
          </w:tcPr>
          <w:p w14:paraId="2EB3EF62" w14:textId="45CFFAE6" w:rsidR="00EA4204" w:rsidRDefault="00480A58">
            <w:pPr>
              <w:rPr>
                <w:sz w:val="18"/>
                <w:szCs w:val="18"/>
              </w:rPr>
            </w:pPr>
            <w:r>
              <w:rPr>
                <w:sz w:val="18"/>
                <w:szCs w:val="18"/>
              </w:rPr>
              <w:t>z.s.m.</w:t>
            </w:r>
          </w:p>
        </w:tc>
        <w:tc>
          <w:tcPr>
            <w:tcW w:w="4110" w:type="dxa"/>
            <w:tcBorders>
              <w:top w:val="single" w:sz="4" w:space="0" w:color="auto"/>
              <w:left w:val="single" w:sz="4" w:space="0" w:color="auto"/>
              <w:bottom w:val="single" w:sz="4" w:space="0" w:color="auto"/>
              <w:right w:val="single" w:sz="4" w:space="0" w:color="auto"/>
            </w:tcBorders>
            <w:hideMark/>
          </w:tcPr>
          <w:p w14:paraId="47F34716" w14:textId="6521CCDB" w:rsidR="00EA4204" w:rsidRDefault="00EA4204">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 xml:space="preserve">. Nadenken over infobijeenkomst </w:t>
            </w:r>
            <w:proofErr w:type="spellStart"/>
            <w:r>
              <w:rPr>
                <w:sz w:val="18"/>
                <w:szCs w:val="18"/>
              </w:rPr>
              <w:t>bijv</w:t>
            </w:r>
            <w:proofErr w:type="spellEnd"/>
            <w:r>
              <w:rPr>
                <w:sz w:val="18"/>
                <w:szCs w:val="18"/>
              </w:rPr>
              <w:t xml:space="preserve"> over processchets (zie</w:t>
            </w:r>
            <w:r w:rsidR="00480A58">
              <w:rPr>
                <w:sz w:val="18"/>
                <w:szCs w:val="18"/>
              </w:rPr>
              <w:t xml:space="preserve"> voltooide actie</w:t>
            </w:r>
            <w:r>
              <w:rPr>
                <w:sz w:val="18"/>
                <w:szCs w:val="18"/>
              </w:rPr>
              <w:t>).</w:t>
            </w:r>
          </w:p>
        </w:tc>
      </w:tr>
      <w:tr w:rsidR="00EA4204" w14:paraId="2CF00B77" w14:textId="60BBC539" w:rsidTr="00EA4204">
        <w:tc>
          <w:tcPr>
            <w:tcW w:w="562" w:type="dxa"/>
            <w:tcBorders>
              <w:top w:val="single" w:sz="4" w:space="0" w:color="auto"/>
              <w:left w:val="single" w:sz="4" w:space="0" w:color="auto"/>
              <w:bottom w:val="single" w:sz="4" w:space="0" w:color="auto"/>
              <w:right w:val="single" w:sz="4" w:space="0" w:color="auto"/>
            </w:tcBorders>
            <w:hideMark/>
          </w:tcPr>
          <w:p w14:paraId="6812ABC1" w14:textId="6344AE98" w:rsidR="00EA4204" w:rsidRDefault="00DD2F65">
            <w:pPr>
              <w:rPr>
                <w:sz w:val="18"/>
                <w:szCs w:val="18"/>
              </w:rPr>
            </w:pPr>
            <w:r>
              <w:rPr>
                <w:sz w:val="18"/>
                <w:szCs w:val="18"/>
              </w:rPr>
              <w:t>3</w:t>
            </w:r>
          </w:p>
        </w:tc>
        <w:tc>
          <w:tcPr>
            <w:tcW w:w="2552" w:type="dxa"/>
            <w:tcBorders>
              <w:top w:val="single" w:sz="4" w:space="0" w:color="auto"/>
              <w:left w:val="single" w:sz="4" w:space="0" w:color="auto"/>
              <w:bottom w:val="single" w:sz="4" w:space="0" w:color="auto"/>
              <w:right w:val="single" w:sz="4" w:space="0" w:color="auto"/>
            </w:tcBorders>
            <w:hideMark/>
          </w:tcPr>
          <w:p w14:paraId="2F540805" w14:textId="64E906F8" w:rsidR="00EA4204" w:rsidRDefault="00EA4204">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w:t>
            </w:r>
            <w:r w:rsidR="00453253">
              <w:rPr>
                <w:sz w:val="18"/>
                <w:szCs w:val="18"/>
              </w:rPr>
              <w:t xml:space="preserve"> o</w:t>
            </w:r>
            <w:r>
              <w:rPr>
                <w:sz w:val="18"/>
                <w:szCs w:val="18"/>
              </w:rPr>
              <w:t>p punt vertrouwelijk omgaan met gegevens  verantwoording.</w:t>
            </w:r>
          </w:p>
          <w:p w14:paraId="45C479CA" w14:textId="77777777" w:rsidR="00EA4204" w:rsidRDefault="00EA4204">
            <w:pPr>
              <w:rPr>
                <w:sz w:val="18"/>
                <w:szCs w:val="18"/>
              </w:rPr>
            </w:pPr>
            <w:r>
              <w:rPr>
                <w:sz w:val="18"/>
                <w:szCs w:val="18"/>
              </w:rPr>
              <w:t xml:space="preserve">Invulwijzer heeft meer gezag (naar accountants) dan berichten over omgaan met verantwoording </w:t>
            </w:r>
            <w:proofErr w:type="spellStart"/>
            <w:r>
              <w:rPr>
                <w:sz w:val="18"/>
                <w:szCs w:val="18"/>
              </w:rPr>
              <w:t>bvov</w:t>
            </w:r>
            <w:proofErr w:type="spellEnd"/>
            <w:r>
              <w:rPr>
                <w:sz w:val="18"/>
                <w:szCs w:val="18"/>
              </w:rPr>
              <w:t xml:space="preserve"> door IenW</w:t>
            </w:r>
          </w:p>
        </w:tc>
        <w:tc>
          <w:tcPr>
            <w:tcW w:w="1417" w:type="dxa"/>
            <w:tcBorders>
              <w:top w:val="single" w:sz="4" w:space="0" w:color="auto"/>
              <w:left w:val="single" w:sz="4" w:space="0" w:color="auto"/>
              <w:bottom w:val="single" w:sz="4" w:space="0" w:color="auto"/>
              <w:right w:val="single" w:sz="4" w:space="0" w:color="auto"/>
            </w:tcBorders>
            <w:hideMark/>
          </w:tcPr>
          <w:p w14:paraId="1D810949" w14:textId="77777777" w:rsidR="00EA4204" w:rsidRDefault="00EA4204">
            <w:pPr>
              <w:rPr>
                <w:sz w:val="18"/>
                <w:szCs w:val="18"/>
              </w:rPr>
            </w:pPr>
            <w:r>
              <w:rPr>
                <w:sz w:val="18"/>
                <w:szCs w:val="18"/>
              </w:rPr>
              <w:t xml:space="preserve">JW en Rob doen navraag bij collega’s IenW die betrokken zijn bij opstellen van </w:t>
            </w:r>
            <w:proofErr w:type="spellStart"/>
            <w:r>
              <w:rPr>
                <w:sz w:val="18"/>
                <w:szCs w:val="18"/>
              </w:rPr>
              <w:t>SiSa</w:t>
            </w:r>
            <w:proofErr w:type="spellEnd"/>
            <w:r>
              <w:rPr>
                <w:sz w:val="18"/>
                <w:szCs w:val="18"/>
              </w:rPr>
              <w:t>-invulwijzer</w:t>
            </w:r>
          </w:p>
        </w:tc>
        <w:tc>
          <w:tcPr>
            <w:tcW w:w="993" w:type="dxa"/>
            <w:tcBorders>
              <w:top w:val="single" w:sz="4" w:space="0" w:color="auto"/>
              <w:left w:val="single" w:sz="4" w:space="0" w:color="auto"/>
              <w:bottom w:val="single" w:sz="4" w:space="0" w:color="auto"/>
              <w:right w:val="single" w:sz="4" w:space="0" w:color="auto"/>
            </w:tcBorders>
            <w:hideMark/>
          </w:tcPr>
          <w:p w14:paraId="7A4DF342" w14:textId="75DF49EC" w:rsidR="00EA4204" w:rsidRPr="00505545" w:rsidRDefault="00EA4204">
            <w:pPr>
              <w:rPr>
                <w:b/>
                <w:bCs/>
                <w:sz w:val="18"/>
                <w:szCs w:val="18"/>
              </w:rPr>
            </w:pPr>
            <w:r>
              <w:rPr>
                <w:sz w:val="18"/>
                <w:szCs w:val="18"/>
              </w:rPr>
              <w:t>Z</w:t>
            </w:r>
            <w:r w:rsidR="003D34FA">
              <w:rPr>
                <w:sz w:val="18"/>
                <w:szCs w:val="18"/>
              </w:rPr>
              <w:t>.</w:t>
            </w:r>
            <w:r>
              <w:rPr>
                <w:sz w:val="18"/>
                <w:szCs w:val="18"/>
              </w:rPr>
              <w:t>s</w:t>
            </w:r>
            <w:r w:rsidR="003D34FA">
              <w:rPr>
                <w:sz w:val="18"/>
                <w:szCs w:val="18"/>
              </w:rPr>
              <w:t>.</w:t>
            </w:r>
            <w:r>
              <w:rPr>
                <w:sz w:val="18"/>
                <w:szCs w:val="18"/>
              </w:rPr>
              <w:t xml:space="preserve">m. </w:t>
            </w:r>
          </w:p>
        </w:tc>
        <w:tc>
          <w:tcPr>
            <w:tcW w:w="4110" w:type="dxa"/>
            <w:tcBorders>
              <w:top w:val="single" w:sz="4" w:space="0" w:color="auto"/>
              <w:left w:val="single" w:sz="4" w:space="0" w:color="auto"/>
              <w:bottom w:val="single" w:sz="4" w:space="0" w:color="auto"/>
              <w:right w:val="single" w:sz="4" w:space="0" w:color="auto"/>
            </w:tcBorders>
          </w:tcPr>
          <w:p w14:paraId="1B7A1E98" w14:textId="347086EC" w:rsidR="00EA4204" w:rsidRDefault="00453253" w:rsidP="00505545">
            <w:pPr>
              <w:pStyle w:val="Lijstalinea"/>
              <w:numPr>
                <w:ilvl w:val="0"/>
                <w:numId w:val="2"/>
              </w:numPr>
              <w:rPr>
                <w:sz w:val="18"/>
                <w:szCs w:val="18"/>
              </w:rPr>
            </w:pPr>
            <w:r>
              <w:rPr>
                <w:sz w:val="18"/>
                <w:szCs w:val="18"/>
              </w:rPr>
              <w:t xml:space="preserve">Bij de invulwijzer </w:t>
            </w:r>
            <w:proofErr w:type="spellStart"/>
            <w:r>
              <w:rPr>
                <w:sz w:val="18"/>
                <w:szCs w:val="18"/>
              </w:rPr>
              <w:t>SiSa</w:t>
            </w:r>
            <w:proofErr w:type="spellEnd"/>
            <w:r>
              <w:rPr>
                <w:sz w:val="18"/>
                <w:szCs w:val="18"/>
              </w:rPr>
              <w:t xml:space="preserve"> (is van </w:t>
            </w:r>
            <w:proofErr w:type="spellStart"/>
            <w:r>
              <w:rPr>
                <w:sz w:val="18"/>
                <w:szCs w:val="18"/>
              </w:rPr>
              <w:t>Bzk</w:t>
            </w:r>
            <w:proofErr w:type="spellEnd"/>
            <w:r>
              <w:rPr>
                <w:sz w:val="18"/>
                <w:szCs w:val="18"/>
              </w:rPr>
              <w:t xml:space="preserve">) zou moeten worden toegelicht </w:t>
            </w:r>
            <w:r w:rsidR="00EA4204">
              <w:rPr>
                <w:sz w:val="18"/>
                <w:szCs w:val="18"/>
              </w:rPr>
              <w:t xml:space="preserve">dat </w:t>
            </w:r>
            <w:proofErr w:type="spellStart"/>
            <w:r w:rsidR="00EA4204">
              <w:rPr>
                <w:sz w:val="18"/>
                <w:szCs w:val="18"/>
              </w:rPr>
              <w:t>DO</w:t>
            </w:r>
            <w:r>
              <w:rPr>
                <w:sz w:val="18"/>
                <w:szCs w:val="18"/>
              </w:rPr>
              <w:t>’s</w:t>
            </w:r>
            <w:proofErr w:type="spellEnd"/>
            <w:r w:rsidR="00EA4204">
              <w:rPr>
                <w:sz w:val="18"/>
                <w:szCs w:val="18"/>
              </w:rPr>
              <w:t xml:space="preserve"> een aantal gegevens uit het format waarin de </w:t>
            </w:r>
            <w:proofErr w:type="spellStart"/>
            <w:r w:rsidR="00EA4204">
              <w:rPr>
                <w:sz w:val="18"/>
                <w:szCs w:val="18"/>
              </w:rPr>
              <w:t>bvov</w:t>
            </w:r>
            <w:proofErr w:type="spellEnd"/>
            <w:r w:rsidR="00EA4204">
              <w:rPr>
                <w:sz w:val="18"/>
                <w:szCs w:val="18"/>
              </w:rPr>
              <w:t xml:space="preserve"> verantwoord moet worden, vanwege hun vertrouwelijke karakter niet moet publiceren.</w:t>
            </w:r>
          </w:p>
          <w:p w14:paraId="36F46B2F" w14:textId="77777777" w:rsidR="00EA4204" w:rsidRDefault="00EA4204" w:rsidP="00505545">
            <w:pPr>
              <w:pStyle w:val="Lijstalinea"/>
              <w:numPr>
                <w:ilvl w:val="0"/>
                <w:numId w:val="2"/>
              </w:numPr>
              <w:rPr>
                <w:sz w:val="18"/>
                <w:szCs w:val="18"/>
              </w:rPr>
            </w:pPr>
            <w:r>
              <w:rPr>
                <w:sz w:val="18"/>
                <w:szCs w:val="18"/>
              </w:rPr>
              <w:t>Specifieke bedragen voor verantwoording aan EC zijn dan niet meer nodig.</w:t>
            </w:r>
          </w:p>
          <w:p w14:paraId="5467CB53" w14:textId="3B6270D7" w:rsidR="00EA4204" w:rsidRPr="001B1A99" w:rsidRDefault="00EA4204" w:rsidP="001B1A99">
            <w:pPr>
              <w:pStyle w:val="Lijstalinea"/>
              <w:numPr>
                <w:ilvl w:val="0"/>
                <w:numId w:val="2"/>
              </w:numPr>
              <w:rPr>
                <w:sz w:val="18"/>
                <w:szCs w:val="18"/>
              </w:rPr>
            </w:pPr>
            <w:r>
              <w:rPr>
                <w:sz w:val="18"/>
                <w:szCs w:val="18"/>
              </w:rPr>
              <w:t>Testen invulsheet.</w:t>
            </w:r>
          </w:p>
        </w:tc>
      </w:tr>
      <w:tr w:rsidR="00EA4204" w14:paraId="08350E27" w14:textId="284CF6C4" w:rsidTr="00EA4204">
        <w:tc>
          <w:tcPr>
            <w:tcW w:w="562" w:type="dxa"/>
            <w:tcBorders>
              <w:top w:val="single" w:sz="4" w:space="0" w:color="auto"/>
              <w:left w:val="single" w:sz="4" w:space="0" w:color="auto"/>
              <w:bottom w:val="single" w:sz="4" w:space="0" w:color="auto"/>
              <w:right w:val="single" w:sz="4" w:space="0" w:color="auto"/>
            </w:tcBorders>
            <w:hideMark/>
          </w:tcPr>
          <w:p w14:paraId="0FF4A5AE" w14:textId="3C459E36" w:rsidR="00EA4204" w:rsidRDefault="00DD2F65">
            <w:pPr>
              <w:rPr>
                <w:sz w:val="18"/>
                <w:szCs w:val="18"/>
              </w:rPr>
            </w:pPr>
            <w:r>
              <w:rPr>
                <w:sz w:val="18"/>
                <w:szCs w:val="18"/>
              </w:rPr>
              <w:t>4</w:t>
            </w:r>
          </w:p>
        </w:tc>
        <w:tc>
          <w:tcPr>
            <w:tcW w:w="2552" w:type="dxa"/>
            <w:tcBorders>
              <w:top w:val="single" w:sz="4" w:space="0" w:color="auto"/>
              <w:left w:val="single" w:sz="4" w:space="0" w:color="auto"/>
              <w:bottom w:val="single" w:sz="4" w:space="0" w:color="auto"/>
              <w:right w:val="single" w:sz="4" w:space="0" w:color="auto"/>
            </w:tcBorders>
            <w:hideMark/>
          </w:tcPr>
          <w:p w14:paraId="3784C8B2" w14:textId="77777777" w:rsidR="00EA4204" w:rsidRDefault="00EA4204">
            <w:pPr>
              <w:rPr>
                <w:sz w:val="18"/>
                <w:szCs w:val="18"/>
              </w:rPr>
            </w:pPr>
            <w:r>
              <w:rPr>
                <w:sz w:val="18"/>
                <w:szCs w:val="18"/>
              </w:rPr>
              <w:t xml:space="preserve">Q+A </w:t>
            </w:r>
          </w:p>
        </w:tc>
        <w:tc>
          <w:tcPr>
            <w:tcW w:w="1417" w:type="dxa"/>
            <w:tcBorders>
              <w:top w:val="single" w:sz="4" w:space="0" w:color="auto"/>
              <w:left w:val="single" w:sz="4" w:space="0" w:color="auto"/>
              <w:bottom w:val="single" w:sz="4" w:space="0" w:color="auto"/>
              <w:right w:val="single" w:sz="4" w:space="0" w:color="auto"/>
            </w:tcBorders>
            <w:hideMark/>
          </w:tcPr>
          <w:p w14:paraId="7C142F40" w14:textId="77777777" w:rsidR="00EA4204" w:rsidRDefault="00EA4204">
            <w:pPr>
              <w:rPr>
                <w:sz w:val="18"/>
                <w:szCs w:val="18"/>
              </w:rPr>
            </w:pPr>
            <w:r>
              <w:rPr>
                <w:sz w:val="18"/>
                <w:szCs w:val="18"/>
              </w:rPr>
              <w:t>Jan Willem</w:t>
            </w:r>
          </w:p>
        </w:tc>
        <w:tc>
          <w:tcPr>
            <w:tcW w:w="993" w:type="dxa"/>
            <w:tcBorders>
              <w:top w:val="single" w:sz="4" w:space="0" w:color="auto"/>
              <w:left w:val="single" w:sz="4" w:space="0" w:color="auto"/>
              <w:bottom w:val="single" w:sz="4" w:space="0" w:color="auto"/>
              <w:right w:val="single" w:sz="4" w:space="0" w:color="auto"/>
            </w:tcBorders>
            <w:hideMark/>
          </w:tcPr>
          <w:p w14:paraId="2D659B3E" w14:textId="280FDE58" w:rsidR="00EA4204" w:rsidRDefault="00EA4204">
            <w:pPr>
              <w:rPr>
                <w:sz w:val="18"/>
                <w:szCs w:val="18"/>
              </w:rPr>
            </w:pPr>
            <w:r>
              <w:rPr>
                <w:sz w:val="18"/>
                <w:szCs w:val="18"/>
              </w:rPr>
              <w:t>Z.s.m.</w:t>
            </w:r>
          </w:p>
        </w:tc>
        <w:tc>
          <w:tcPr>
            <w:tcW w:w="4110" w:type="dxa"/>
            <w:tcBorders>
              <w:top w:val="single" w:sz="4" w:space="0" w:color="auto"/>
              <w:left w:val="single" w:sz="4" w:space="0" w:color="auto"/>
              <w:bottom w:val="single" w:sz="4" w:space="0" w:color="auto"/>
              <w:right w:val="single" w:sz="4" w:space="0" w:color="auto"/>
            </w:tcBorders>
            <w:hideMark/>
          </w:tcPr>
          <w:p w14:paraId="2E017011" w14:textId="29DD8995" w:rsidR="00EA4204" w:rsidRDefault="00EA4204">
            <w:pPr>
              <w:rPr>
                <w:sz w:val="18"/>
                <w:szCs w:val="18"/>
              </w:rPr>
            </w:pPr>
            <w:r>
              <w:rPr>
                <w:sz w:val="18"/>
                <w:szCs w:val="18"/>
              </w:rPr>
              <w:t>Verslagen van deze werkgroepen voorzien in deze functie totdat gestelde vragen en antwoorden gepubliceerd worden.</w:t>
            </w:r>
            <w:r w:rsidR="00A901D5">
              <w:rPr>
                <w:sz w:val="18"/>
                <w:szCs w:val="18"/>
              </w:rPr>
              <w:t xml:space="preserve"> Op 8/9: extra punt: </w:t>
            </w:r>
            <w:r w:rsidR="00A901D5" w:rsidRPr="00A901D5">
              <w:rPr>
                <w:sz w:val="18"/>
                <w:szCs w:val="18"/>
              </w:rPr>
              <w:t xml:space="preserve">Ook bij de BVOV vielen additionele subsidies v/d DO binnen het bereik van de rendementstoets. Voor zover de regeling op dat punt nog niet geheel duidelijk is, zal dit in de </w:t>
            </w:r>
            <w:proofErr w:type="spellStart"/>
            <w:r w:rsidR="00A901D5" w:rsidRPr="00A901D5">
              <w:rPr>
                <w:sz w:val="18"/>
                <w:szCs w:val="18"/>
              </w:rPr>
              <w:t>QenA’s</w:t>
            </w:r>
            <w:proofErr w:type="spellEnd"/>
            <w:r w:rsidR="00A901D5" w:rsidRPr="00A901D5">
              <w:rPr>
                <w:sz w:val="18"/>
                <w:szCs w:val="18"/>
              </w:rPr>
              <w:t xml:space="preserve"> plaatsvinden)</w:t>
            </w:r>
          </w:p>
        </w:tc>
      </w:tr>
      <w:tr w:rsidR="00EA4204" w14:paraId="3F7C5E29" w14:textId="128538F9" w:rsidTr="00EA4204">
        <w:tc>
          <w:tcPr>
            <w:tcW w:w="562" w:type="dxa"/>
            <w:tcBorders>
              <w:top w:val="single" w:sz="4" w:space="0" w:color="auto"/>
              <w:left w:val="single" w:sz="4" w:space="0" w:color="auto"/>
              <w:bottom w:val="single" w:sz="4" w:space="0" w:color="auto"/>
              <w:right w:val="single" w:sz="4" w:space="0" w:color="auto"/>
            </w:tcBorders>
            <w:hideMark/>
          </w:tcPr>
          <w:p w14:paraId="766C96B4" w14:textId="26F75EE1" w:rsidR="00EA4204" w:rsidRDefault="00DD2F65">
            <w:pPr>
              <w:rPr>
                <w:sz w:val="18"/>
                <w:szCs w:val="18"/>
              </w:rPr>
            </w:pPr>
            <w:r>
              <w:rPr>
                <w:sz w:val="18"/>
                <w:szCs w:val="18"/>
              </w:rPr>
              <w:t>5</w:t>
            </w:r>
          </w:p>
        </w:tc>
        <w:tc>
          <w:tcPr>
            <w:tcW w:w="2552" w:type="dxa"/>
            <w:tcBorders>
              <w:top w:val="single" w:sz="4" w:space="0" w:color="auto"/>
              <w:left w:val="single" w:sz="4" w:space="0" w:color="auto"/>
              <w:bottom w:val="single" w:sz="4" w:space="0" w:color="auto"/>
              <w:right w:val="single" w:sz="4" w:space="0" w:color="auto"/>
            </w:tcBorders>
            <w:hideMark/>
          </w:tcPr>
          <w:p w14:paraId="3EDE5B7F" w14:textId="641B9EE5" w:rsidR="00EA4204" w:rsidRDefault="00EA4204">
            <w:pPr>
              <w:rPr>
                <w:sz w:val="18"/>
                <w:szCs w:val="18"/>
              </w:rPr>
            </w:pPr>
            <w:r>
              <w:rPr>
                <w:sz w:val="18"/>
                <w:szCs w:val="18"/>
              </w:rPr>
              <w:t>Beoordelen hoe om te gaan met slordigheid van een vervoerder en hun accountant in de verantwoording bvov 2020 procedureel geen probleempje opwerpt.</w:t>
            </w:r>
          </w:p>
        </w:tc>
        <w:tc>
          <w:tcPr>
            <w:tcW w:w="1417" w:type="dxa"/>
            <w:tcBorders>
              <w:top w:val="single" w:sz="4" w:space="0" w:color="auto"/>
              <w:left w:val="single" w:sz="4" w:space="0" w:color="auto"/>
              <w:bottom w:val="single" w:sz="4" w:space="0" w:color="auto"/>
              <w:right w:val="single" w:sz="4" w:space="0" w:color="auto"/>
            </w:tcBorders>
            <w:hideMark/>
          </w:tcPr>
          <w:p w14:paraId="7368E463" w14:textId="77777777" w:rsidR="00EA4204" w:rsidRDefault="00EA4204">
            <w:pPr>
              <w:rPr>
                <w:sz w:val="18"/>
                <w:szCs w:val="18"/>
              </w:rPr>
            </w:pPr>
            <w:r>
              <w:rPr>
                <w:sz w:val="18"/>
                <w:szCs w:val="18"/>
              </w:rPr>
              <w:t>JW en Rob</w:t>
            </w:r>
          </w:p>
        </w:tc>
        <w:tc>
          <w:tcPr>
            <w:tcW w:w="993" w:type="dxa"/>
            <w:tcBorders>
              <w:top w:val="single" w:sz="4" w:space="0" w:color="auto"/>
              <w:left w:val="single" w:sz="4" w:space="0" w:color="auto"/>
              <w:bottom w:val="single" w:sz="4" w:space="0" w:color="auto"/>
              <w:right w:val="single" w:sz="4" w:space="0" w:color="auto"/>
            </w:tcBorders>
            <w:hideMark/>
          </w:tcPr>
          <w:p w14:paraId="1A0E8E39" w14:textId="60C46672" w:rsidR="00EA4204" w:rsidRDefault="00EA4204">
            <w:pPr>
              <w:rPr>
                <w:sz w:val="18"/>
                <w:szCs w:val="18"/>
              </w:rPr>
            </w:pPr>
            <w:r>
              <w:rPr>
                <w:sz w:val="18"/>
                <w:szCs w:val="18"/>
              </w:rPr>
              <w:t>Zodra betreffende verantwoording/vaststelling aan de orde is</w:t>
            </w:r>
          </w:p>
        </w:tc>
        <w:tc>
          <w:tcPr>
            <w:tcW w:w="4110" w:type="dxa"/>
            <w:tcBorders>
              <w:top w:val="single" w:sz="4" w:space="0" w:color="auto"/>
              <w:left w:val="single" w:sz="4" w:space="0" w:color="auto"/>
              <w:bottom w:val="single" w:sz="4" w:space="0" w:color="auto"/>
              <w:right w:val="single" w:sz="4" w:space="0" w:color="auto"/>
            </w:tcBorders>
            <w:hideMark/>
          </w:tcPr>
          <w:p w14:paraId="3B72D5AF" w14:textId="231398BD" w:rsidR="00EA4204" w:rsidRDefault="00EA4204">
            <w:pPr>
              <w:rPr>
                <w:sz w:val="18"/>
                <w:szCs w:val="18"/>
              </w:rPr>
            </w:pPr>
            <w:r>
              <w:rPr>
                <w:sz w:val="18"/>
                <w:szCs w:val="18"/>
              </w:rPr>
              <w:t>MRDH en VRA hebben IenW geïnformeerd dat in verantwoording de specifieke Covid-19-kosten voor ten onrechte 100% zijn meegenomen in de berekende BVOV, waarbij wel een goedkeurende accountantsverklaring is verstrekt.</w:t>
            </w:r>
          </w:p>
        </w:tc>
      </w:tr>
      <w:tr w:rsidR="00EA754C" w14:paraId="08F8CB76" w14:textId="77777777" w:rsidTr="00490ED6">
        <w:tc>
          <w:tcPr>
            <w:tcW w:w="9634" w:type="dxa"/>
            <w:gridSpan w:val="5"/>
            <w:tcBorders>
              <w:top w:val="single" w:sz="4" w:space="0" w:color="auto"/>
              <w:left w:val="single" w:sz="4" w:space="0" w:color="auto"/>
              <w:bottom w:val="single" w:sz="4" w:space="0" w:color="auto"/>
              <w:right w:val="single" w:sz="4" w:space="0" w:color="auto"/>
            </w:tcBorders>
          </w:tcPr>
          <w:p w14:paraId="372B08AE" w14:textId="772E0646" w:rsidR="00EA754C" w:rsidRPr="00EA754C" w:rsidRDefault="00EA754C">
            <w:pPr>
              <w:rPr>
                <w:b/>
                <w:bCs/>
                <w:sz w:val="18"/>
                <w:szCs w:val="18"/>
              </w:rPr>
            </w:pPr>
            <w:r w:rsidRPr="00EA754C">
              <w:rPr>
                <w:b/>
                <w:bCs/>
                <w:sz w:val="18"/>
                <w:szCs w:val="18"/>
              </w:rPr>
              <w:t>Afgerond</w:t>
            </w:r>
          </w:p>
        </w:tc>
      </w:tr>
      <w:tr w:rsidR="00EA4204" w14:paraId="17500519" w14:textId="77777777" w:rsidTr="0026788B">
        <w:tc>
          <w:tcPr>
            <w:tcW w:w="562" w:type="dxa"/>
            <w:tcBorders>
              <w:top w:val="single" w:sz="4" w:space="0" w:color="auto"/>
              <w:left w:val="single" w:sz="4" w:space="0" w:color="auto"/>
              <w:bottom w:val="single" w:sz="4" w:space="0" w:color="auto"/>
              <w:right w:val="single" w:sz="4" w:space="0" w:color="auto"/>
            </w:tcBorders>
            <w:hideMark/>
          </w:tcPr>
          <w:p w14:paraId="5A743647" w14:textId="1F4994B1" w:rsidR="00EA4204" w:rsidRDefault="00EA4204" w:rsidP="00C2264F">
            <w:pPr>
              <w:rPr>
                <w:sz w:val="18"/>
                <w:szCs w:val="18"/>
              </w:rPr>
            </w:pPr>
          </w:p>
        </w:tc>
        <w:tc>
          <w:tcPr>
            <w:tcW w:w="2552" w:type="dxa"/>
            <w:tcBorders>
              <w:top w:val="single" w:sz="4" w:space="0" w:color="auto"/>
              <w:left w:val="single" w:sz="4" w:space="0" w:color="auto"/>
              <w:bottom w:val="single" w:sz="4" w:space="0" w:color="auto"/>
              <w:right w:val="single" w:sz="4" w:space="0" w:color="auto"/>
            </w:tcBorders>
            <w:hideMark/>
          </w:tcPr>
          <w:p w14:paraId="37531A0F" w14:textId="77777777" w:rsidR="00EA4204" w:rsidRDefault="00EA4204" w:rsidP="00C2264F">
            <w:pPr>
              <w:rPr>
                <w:sz w:val="18"/>
                <w:szCs w:val="18"/>
              </w:rPr>
            </w:pPr>
            <w:r>
              <w:rPr>
                <w:sz w:val="18"/>
                <w:szCs w:val="18"/>
              </w:rPr>
              <w:t>Uitwerken processchets I&amp;W om tot vaststelling BVOV 2020 te komen en voor advies voorleggen aan ADR (Dheeraj)</w:t>
            </w:r>
          </w:p>
        </w:tc>
        <w:tc>
          <w:tcPr>
            <w:tcW w:w="1417" w:type="dxa"/>
            <w:tcBorders>
              <w:top w:val="single" w:sz="4" w:space="0" w:color="auto"/>
              <w:left w:val="single" w:sz="4" w:space="0" w:color="auto"/>
              <w:bottom w:val="single" w:sz="4" w:space="0" w:color="auto"/>
              <w:right w:val="single" w:sz="4" w:space="0" w:color="auto"/>
            </w:tcBorders>
            <w:hideMark/>
          </w:tcPr>
          <w:p w14:paraId="0A1B8A3E" w14:textId="77777777" w:rsidR="00EA4204" w:rsidRDefault="00EA4204" w:rsidP="00C2264F">
            <w:pPr>
              <w:rPr>
                <w:sz w:val="18"/>
                <w:szCs w:val="18"/>
              </w:rPr>
            </w:pPr>
            <w:r>
              <w:rPr>
                <w:sz w:val="18"/>
                <w:szCs w:val="18"/>
              </w:rPr>
              <w:t>JW en Rob</w:t>
            </w:r>
          </w:p>
        </w:tc>
        <w:tc>
          <w:tcPr>
            <w:tcW w:w="993" w:type="dxa"/>
            <w:tcBorders>
              <w:top w:val="single" w:sz="4" w:space="0" w:color="auto"/>
              <w:left w:val="single" w:sz="4" w:space="0" w:color="auto"/>
              <w:bottom w:val="single" w:sz="4" w:space="0" w:color="auto"/>
              <w:right w:val="single" w:sz="4" w:space="0" w:color="auto"/>
            </w:tcBorders>
          </w:tcPr>
          <w:p w14:paraId="5D93295D" w14:textId="42781801" w:rsidR="00EA4204" w:rsidRDefault="00EA4204" w:rsidP="00C2264F">
            <w:pPr>
              <w:rPr>
                <w:sz w:val="18"/>
                <w:szCs w:val="18"/>
              </w:rPr>
            </w:pPr>
          </w:p>
        </w:tc>
        <w:tc>
          <w:tcPr>
            <w:tcW w:w="4110" w:type="dxa"/>
            <w:tcBorders>
              <w:top w:val="single" w:sz="4" w:space="0" w:color="auto"/>
              <w:left w:val="single" w:sz="4" w:space="0" w:color="auto"/>
              <w:bottom w:val="single" w:sz="4" w:space="0" w:color="auto"/>
              <w:right w:val="single" w:sz="4" w:space="0" w:color="auto"/>
            </w:tcBorders>
            <w:hideMark/>
          </w:tcPr>
          <w:p w14:paraId="27F7C3D6" w14:textId="77777777" w:rsidR="00EA4204" w:rsidRDefault="00EA4204" w:rsidP="00C2264F">
            <w:pPr>
              <w:rPr>
                <w:sz w:val="18"/>
                <w:szCs w:val="18"/>
              </w:rPr>
            </w:pPr>
            <w:r>
              <w:rPr>
                <w:sz w:val="18"/>
                <w:szCs w:val="18"/>
              </w:rPr>
              <w:t>In overleg met UDAC, Dennis</w:t>
            </w:r>
            <w:r w:rsidR="000E1D42">
              <w:rPr>
                <w:sz w:val="18"/>
                <w:szCs w:val="18"/>
              </w:rPr>
              <w:t>.</w:t>
            </w:r>
          </w:p>
          <w:p w14:paraId="71A6C181" w14:textId="6AC29685" w:rsidR="000E1D42" w:rsidRDefault="000E1D42" w:rsidP="00C2264F">
            <w:pPr>
              <w:rPr>
                <w:sz w:val="18"/>
                <w:szCs w:val="18"/>
              </w:rPr>
            </w:pPr>
            <w:r>
              <w:rPr>
                <w:sz w:val="18"/>
                <w:szCs w:val="18"/>
              </w:rPr>
              <w:t>Document is toegezonden aan de leden van het overleg.</w:t>
            </w:r>
          </w:p>
        </w:tc>
      </w:tr>
      <w:tr w:rsidR="00EA4204" w14:paraId="62A78FD3" w14:textId="44CAF0C3" w:rsidTr="00EA4204">
        <w:tc>
          <w:tcPr>
            <w:tcW w:w="562" w:type="dxa"/>
            <w:tcBorders>
              <w:top w:val="single" w:sz="4" w:space="0" w:color="auto"/>
              <w:left w:val="single" w:sz="4" w:space="0" w:color="auto"/>
              <w:bottom w:val="single" w:sz="4" w:space="0" w:color="auto"/>
              <w:right w:val="single" w:sz="4" w:space="0" w:color="auto"/>
            </w:tcBorders>
          </w:tcPr>
          <w:p w14:paraId="1987652A" w14:textId="6D7B21EC" w:rsidR="00EA4204" w:rsidRDefault="00EA4204">
            <w:pPr>
              <w:rPr>
                <w:sz w:val="18"/>
                <w:szCs w:val="18"/>
              </w:rPr>
            </w:pPr>
          </w:p>
        </w:tc>
        <w:tc>
          <w:tcPr>
            <w:tcW w:w="2552" w:type="dxa"/>
            <w:tcBorders>
              <w:top w:val="single" w:sz="4" w:space="0" w:color="auto"/>
              <w:left w:val="single" w:sz="4" w:space="0" w:color="auto"/>
              <w:bottom w:val="single" w:sz="4" w:space="0" w:color="auto"/>
              <w:right w:val="single" w:sz="4" w:space="0" w:color="auto"/>
            </w:tcBorders>
          </w:tcPr>
          <w:p w14:paraId="7A40B114" w14:textId="4ED8E3B8" w:rsidR="00EA4204" w:rsidRDefault="00EA4204">
            <w:pPr>
              <w:rPr>
                <w:sz w:val="18"/>
                <w:szCs w:val="18"/>
              </w:rPr>
            </w:pPr>
            <w:r>
              <w:rPr>
                <w:sz w:val="18"/>
                <w:szCs w:val="18"/>
              </w:rPr>
              <w:t xml:space="preserve">Standpuntbepaling DOVA m.b.t. informatieverstrekking CROW richting ACM </w:t>
            </w:r>
          </w:p>
        </w:tc>
        <w:tc>
          <w:tcPr>
            <w:tcW w:w="1417" w:type="dxa"/>
            <w:tcBorders>
              <w:top w:val="single" w:sz="4" w:space="0" w:color="auto"/>
              <w:left w:val="single" w:sz="4" w:space="0" w:color="auto"/>
              <w:bottom w:val="single" w:sz="4" w:space="0" w:color="auto"/>
              <w:right w:val="single" w:sz="4" w:space="0" w:color="auto"/>
            </w:tcBorders>
          </w:tcPr>
          <w:p w14:paraId="1ED64EA5" w14:textId="5FEF322A" w:rsidR="00EA4204" w:rsidRDefault="00EA4204">
            <w:pPr>
              <w:rPr>
                <w:sz w:val="18"/>
                <w:szCs w:val="18"/>
              </w:rPr>
            </w:pPr>
            <w:r>
              <w:rPr>
                <w:sz w:val="18"/>
                <w:szCs w:val="18"/>
              </w:rPr>
              <w:t>Ariëns</w:t>
            </w:r>
          </w:p>
        </w:tc>
        <w:tc>
          <w:tcPr>
            <w:tcW w:w="993" w:type="dxa"/>
            <w:tcBorders>
              <w:top w:val="single" w:sz="4" w:space="0" w:color="auto"/>
              <w:left w:val="single" w:sz="4" w:space="0" w:color="auto"/>
              <w:bottom w:val="single" w:sz="4" w:space="0" w:color="auto"/>
              <w:right w:val="single" w:sz="4" w:space="0" w:color="auto"/>
            </w:tcBorders>
          </w:tcPr>
          <w:p w14:paraId="1E93C584" w14:textId="143DB91B" w:rsidR="00EA4204" w:rsidRDefault="00EA4204">
            <w:pPr>
              <w:rPr>
                <w:sz w:val="18"/>
                <w:szCs w:val="18"/>
              </w:rPr>
            </w:pPr>
          </w:p>
        </w:tc>
        <w:tc>
          <w:tcPr>
            <w:tcW w:w="4110" w:type="dxa"/>
            <w:tcBorders>
              <w:top w:val="single" w:sz="4" w:space="0" w:color="auto"/>
              <w:left w:val="single" w:sz="4" w:space="0" w:color="auto"/>
              <w:bottom w:val="single" w:sz="4" w:space="0" w:color="auto"/>
              <w:right w:val="single" w:sz="4" w:space="0" w:color="auto"/>
            </w:tcBorders>
          </w:tcPr>
          <w:p w14:paraId="5E9225F6" w14:textId="77777777" w:rsidR="00EA4204" w:rsidRDefault="00EA4204">
            <w:pPr>
              <w:rPr>
                <w:sz w:val="18"/>
                <w:szCs w:val="18"/>
              </w:rPr>
            </w:pPr>
            <w:r>
              <w:rPr>
                <w:sz w:val="18"/>
                <w:szCs w:val="18"/>
              </w:rPr>
              <w:t>Kan mogelijk leiden tot ongewenst delen bedrijfsve</w:t>
            </w:r>
            <w:r w:rsidR="00914B9C">
              <w:rPr>
                <w:sz w:val="18"/>
                <w:szCs w:val="18"/>
              </w:rPr>
              <w:t>r</w:t>
            </w:r>
            <w:r>
              <w:rPr>
                <w:sz w:val="18"/>
                <w:szCs w:val="18"/>
              </w:rPr>
              <w:t xml:space="preserve">trouwelijke info; </w:t>
            </w:r>
            <w:proofErr w:type="spellStart"/>
            <w:r>
              <w:rPr>
                <w:sz w:val="18"/>
                <w:szCs w:val="18"/>
              </w:rPr>
              <w:t>specifeke</w:t>
            </w:r>
            <w:proofErr w:type="spellEnd"/>
            <w:r>
              <w:rPr>
                <w:sz w:val="18"/>
                <w:szCs w:val="18"/>
              </w:rPr>
              <w:t xml:space="preserve"> kosten/marges per concessie. Discussie zie verslag 11/8/22</w:t>
            </w:r>
            <w:r w:rsidR="003D34FA">
              <w:rPr>
                <w:sz w:val="18"/>
                <w:szCs w:val="18"/>
              </w:rPr>
              <w:t>.</w:t>
            </w:r>
          </w:p>
          <w:p w14:paraId="48D2BCCA" w14:textId="77777777" w:rsidR="00D466F6" w:rsidRDefault="00D466F6">
            <w:pPr>
              <w:rPr>
                <w:sz w:val="18"/>
                <w:szCs w:val="18"/>
              </w:rPr>
            </w:pPr>
          </w:p>
          <w:p w14:paraId="66649DD6" w14:textId="5A7478A0" w:rsidR="00D466F6" w:rsidRDefault="00164F57">
            <w:pPr>
              <w:rPr>
                <w:sz w:val="18"/>
                <w:szCs w:val="18"/>
              </w:rPr>
            </w:pPr>
            <w:r w:rsidRPr="0026788B">
              <w:rPr>
                <w:sz w:val="18"/>
                <w:szCs w:val="18"/>
              </w:rPr>
              <w:t>Opgelost door Martijn op 24/8/22: “vandaag heb ik samen met Martijn (CROW) en Stijn van Megen (ACM) over dit punt van gedachten gewisseld. Uitkomst is dat we in de staat van het Regionaal OV t.a.v. de BVOV enkel een geaggregeerd overzicht opnemen op landelijk niveau per vervoerder (niet naar concessie herleidbare informatie dus).</w:t>
            </w:r>
          </w:p>
          <w:p w14:paraId="260D2DEC" w14:textId="0513AAF5" w:rsidR="003D34FA" w:rsidRDefault="003D34FA">
            <w:pPr>
              <w:rPr>
                <w:sz w:val="18"/>
                <w:szCs w:val="18"/>
              </w:rPr>
            </w:pPr>
          </w:p>
        </w:tc>
      </w:tr>
    </w:tbl>
    <w:p w14:paraId="21351E97" w14:textId="77777777" w:rsidR="00505545" w:rsidRDefault="00505545" w:rsidP="00505545">
      <w:pPr>
        <w:rPr>
          <w:rFonts w:asciiTheme="minorHAnsi" w:hAnsiTheme="minorHAnsi" w:cstheme="minorBidi"/>
          <w:szCs w:val="24"/>
        </w:rPr>
      </w:pPr>
    </w:p>
    <w:p w14:paraId="7DE85DAF" w14:textId="77777777" w:rsidR="00345D31" w:rsidRDefault="00345D31"/>
    <w:sectPr w:rsidR="00345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F0DCB" w14:textId="77777777" w:rsidR="00C139CF" w:rsidRDefault="00C139CF" w:rsidP="00345D31">
      <w:r>
        <w:separator/>
      </w:r>
    </w:p>
  </w:endnote>
  <w:endnote w:type="continuationSeparator" w:id="0">
    <w:p w14:paraId="02A6D99D" w14:textId="77777777" w:rsidR="00C139CF" w:rsidRDefault="00C139CF" w:rsidP="0034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EB639" w14:textId="77777777" w:rsidR="00C139CF" w:rsidRDefault="00C139CF" w:rsidP="00345D31">
      <w:r>
        <w:separator/>
      </w:r>
    </w:p>
  </w:footnote>
  <w:footnote w:type="continuationSeparator" w:id="0">
    <w:p w14:paraId="6B6EBEDC" w14:textId="77777777" w:rsidR="00C139CF" w:rsidRDefault="00C139CF" w:rsidP="0034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749"/>
    <w:multiLevelType w:val="hybridMultilevel"/>
    <w:tmpl w:val="7EB44D5E"/>
    <w:lvl w:ilvl="0" w:tplc="9BF4781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46BB3B5A"/>
    <w:multiLevelType w:val="singleLevel"/>
    <w:tmpl w:val="04130001"/>
    <w:lvl w:ilvl="0">
      <w:start w:val="1"/>
      <w:numFmt w:val="bullet"/>
      <w:lvlText w:val=""/>
      <w:lvlJc w:val="left"/>
      <w:pPr>
        <w:ind w:left="720" w:hanging="360"/>
      </w:pPr>
      <w:rPr>
        <w:rFonts w:ascii="Symbol" w:hAnsi="Symbol" w:hint="default"/>
      </w:rPr>
    </w:lvl>
  </w:abstractNum>
  <w:abstractNum w:abstractNumId="3" w15:restartNumberingAfterBreak="0">
    <w:nsid w:val="5EB935B8"/>
    <w:multiLevelType w:val="singleLevel"/>
    <w:tmpl w:val="04130001"/>
    <w:lvl w:ilvl="0">
      <w:start w:val="1"/>
      <w:numFmt w:val="bullet"/>
      <w:lvlText w:val=""/>
      <w:lvlJc w:val="left"/>
      <w:pPr>
        <w:ind w:left="720" w:hanging="360"/>
      </w:pPr>
      <w:rPr>
        <w:rFonts w:ascii="Symbol" w:hAnsi="Symbol" w:hint="default"/>
      </w:rPr>
    </w:lvl>
  </w:abstractNum>
  <w:abstractNum w:abstractNumId="4" w15:restartNumberingAfterBreak="0">
    <w:nsid w:val="722D082F"/>
    <w:multiLevelType w:val="hybridMultilevel"/>
    <w:tmpl w:val="5B9E53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num w:numId="1" w16cid:durableId="8519194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6092755">
    <w:abstractNumId w:val="1"/>
  </w:num>
  <w:num w:numId="3" w16cid:durableId="1216551524">
    <w:abstractNumId w:val="3"/>
  </w:num>
  <w:num w:numId="4" w16cid:durableId="2131974464">
    <w:abstractNumId w:val="0"/>
  </w:num>
  <w:num w:numId="5" w16cid:durableId="4387224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31"/>
    <w:rsid w:val="00002CE8"/>
    <w:rsid w:val="00004D8D"/>
    <w:rsid w:val="00004E5F"/>
    <w:rsid w:val="00026EBE"/>
    <w:rsid w:val="00032D09"/>
    <w:rsid w:val="00037C69"/>
    <w:rsid w:val="0004190A"/>
    <w:rsid w:val="00044C2F"/>
    <w:rsid w:val="00044E1E"/>
    <w:rsid w:val="00054EBE"/>
    <w:rsid w:val="00071C9B"/>
    <w:rsid w:val="0007489C"/>
    <w:rsid w:val="00076BD3"/>
    <w:rsid w:val="00082AAE"/>
    <w:rsid w:val="000837DB"/>
    <w:rsid w:val="000A6FBC"/>
    <w:rsid w:val="000B0E21"/>
    <w:rsid w:val="000B2DDE"/>
    <w:rsid w:val="000C5A80"/>
    <w:rsid w:val="000D2D6D"/>
    <w:rsid w:val="000E0FB1"/>
    <w:rsid w:val="000E1D42"/>
    <w:rsid w:val="000E39EC"/>
    <w:rsid w:val="000F64CF"/>
    <w:rsid w:val="000F7EA3"/>
    <w:rsid w:val="00103C24"/>
    <w:rsid w:val="00133141"/>
    <w:rsid w:val="00140932"/>
    <w:rsid w:val="00151C36"/>
    <w:rsid w:val="00157638"/>
    <w:rsid w:val="001577EF"/>
    <w:rsid w:val="00163364"/>
    <w:rsid w:val="00164F57"/>
    <w:rsid w:val="00166D26"/>
    <w:rsid w:val="0018228D"/>
    <w:rsid w:val="00196FF1"/>
    <w:rsid w:val="001B1A99"/>
    <w:rsid w:val="001B52F6"/>
    <w:rsid w:val="001C2884"/>
    <w:rsid w:val="001D02D6"/>
    <w:rsid w:val="001E3C45"/>
    <w:rsid w:val="001E65BF"/>
    <w:rsid w:val="001F69ED"/>
    <w:rsid w:val="00200009"/>
    <w:rsid w:val="0021058E"/>
    <w:rsid w:val="00215B45"/>
    <w:rsid w:val="00231A75"/>
    <w:rsid w:val="00242A95"/>
    <w:rsid w:val="00250BE2"/>
    <w:rsid w:val="00261507"/>
    <w:rsid w:val="0026788B"/>
    <w:rsid w:val="00271AEA"/>
    <w:rsid w:val="002A0C0F"/>
    <w:rsid w:val="002A2F10"/>
    <w:rsid w:val="002A5306"/>
    <w:rsid w:val="002A6B9E"/>
    <w:rsid w:val="002D66FE"/>
    <w:rsid w:val="003045EE"/>
    <w:rsid w:val="00304962"/>
    <w:rsid w:val="00305021"/>
    <w:rsid w:val="00310C37"/>
    <w:rsid w:val="00312619"/>
    <w:rsid w:val="0031377D"/>
    <w:rsid w:val="00322F95"/>
    <w:rsid w:val="0033509B"/>
    <w:rsid w:val="00345D31"/>
    <w:rsid w:val="00351D26"/>
    <w:rsid w:val="00352B3F"/>
    <w:rsid w:val="00353FEE"/>
    <w:rsid w:val="00354A7E"/>
    <w:rsid w:val="00363208"/>
    <w:rsid w:val="00367655"/>
    <w:rsid w:val="003743E4"/>
    <w:rsid w:val="003843AF"/>
    <w:rsid w:val="003909AC"/>
    <w:rsid w:val="0039278D"/>
    <w:rsid w:val="00393DC4"/>
    <w:rsid w:val="003A3189"/>
    <w:rsid w:val="003A4655"/>
    <w:rsid w:val="003B43FE"/>
    <w:rsid w:val="003D078B"/>
    <w:rsid w:val="003D3252"/>
    <w:rsid w:val="003D34FA"/>
    <w:rsid w:val="003D3D8F"/>
    <w:rsid w:val="003D65BD"/>
    <w:rsid w:val="003E477E"/>
    <w:rsid w:val="003F00A2"/>
    <w:rsid w:val="003F0A1D"/>
    <w:rsid w:val="003F12FE"/>
    <w:rsid w:val="003F3BBD"/>
    <w:rsid w:val="0040210B"/>
    <w:rsid w:val="00407243"/>
    <w:rsid w:val="00407856"/>
    <w:rsid w:val="00414023"/>
    <w:rsid w:val="00424176"/>
    <w:rsid w:val="004503AB"/>
    <w:rsid w:val="00451054"/>
    <w:rsid w:val="004525F8"/>
    <w:rsid w:val="00453253"/>
    <w:rsid w:val="004637BE"/>
    <w:rsid w:val="0046392B"/>
    <w:rsid w:val="00470061"/>
    <w:rsid w:val="00480A58"/>
    <w:rsid w:val="00486E1F"/>
    <w:rsid w:val="00493EF4"/>
    <w:rsid w:val="004B0F44"/>
    <w:rsid w:val="004C2804"/>
    <w:rsid w:val="004C4516"/>
    <w:rsid w:val="004E11CE"/>
    <w:rsid w:val="004E7C33"/>
    <w:rsid w:val="004F5FD2"/>
    <w:rsid w:val="00505545"/>
    <w:rsid w:val="00507F04"/>
    <w:rsid w:val="0051622A"/>
    <w:rsid w:val="00550821"/>
    <w:rsid w:val="005622E6"/>
    <w:rsid w:val="00566FC2"/>
    <w:rsid w:val="00586B83"/>
    <w:rsid w:val="005B1480"/>
    <w:rsid w:val="005B2690"/>
    <w:rsid w:val="005B3574"/>
    <w:rsid w:val="005B6473"/>
    <w:rsid w:val="005D39C5"/>
    <w:rsid w:val="005D7DFB"/>
    <w:rsid w:val="005E7FC0"/>
    <w:rsid w:val="005F27B8"/>
    <w:rsid w:val="006004FF"/>
    <w:rsid w:val="006027A6"/>
    <w:rsid w:val="00603FAF"/>
    <w:rsid w:val="0060709C"/>
    <w:rsid w:val="00622F12"/>
    <w:rsid w:val="00625CE1"/>
    <w:rsid w:val="00636479"/>
    <w:rsid w:val="00645761"/>
    <w:rsid w:val="006627DF"/>
    <w:rsid w:val="00671F66"/>
    <w:rsid w:val="0067218A"/>
    <w:rsid w:val="0067422F"/>
    <w:rsid w:val="00685C14"/>
    <w:rsid w:val="00687258"/>
    <w:rsid w:val="006A7EB8"/>
    <w:rsid w:val="006B200A"/>
    <w:rsid w:val="006B4F3F"/>
    <w:rsid w:val="006B6A77"/>
    <w:rsid w:val="006D2E3A"/>
    <w:rsid w:val="006E1AB6"/>
    <w:rsid w:val="006E69BD"/>
    <w:rsid w:val="006E7F54"/>
    <w:rsid w:val="006F1E0A"/>
    <w:rsid w:val="007013EE"/>
    <w:rsid w:val="00702CA2"/>
    <w:rsid w:val="00703A71"/>
    <w:rsid w:val="0071377E"/>
    <w:rsid w:val="0071738A"/>
    <w:rsid w:val="00733972"/>
    <w:rsid w:val="0073481A"/>
    <w:rsid w:val="0077087C"/>
    <w:rsid w:val="00771A4A"/>
    <w:rsid w:val="00775776"/>
    <w:rsid w:val="00784169"/>
    <w:rsid w:val="007B0D79"/>
    <w:rsid w:val="007C4544"/>
    <w:rsid w:val="007C5DEC"/>
    <w:rsid w:val="007C5FAB"/>
    <w:rsid w:val="007D082E"/>
    <w:rsid w:val="007D5526"/>
    <w:rsid w:val="007D63D3"/>
    <w:rsid w:val="007E285D"/>
    <w:rsid w:val="007E3254"/>
    <w:rsid w:val="007E329D"/>
    <w:rsid w:val="007E488B"/>
    <w:rsid w:val="007F2002"/>
    <w:rsid w:val="007F425D"/>
    <w:rsid w:val="0080188D"/>
    <w:rsid w:val="00821332"/>
    <w:rsid w:val="00821B61"/>
    <w:rsid w:val="00823173"/>
    <w:rsid w:val="00824DE5"/>
    <w:rsid w:val="0083741D"/>
    <w:rsid w:val="00837E27"/>
    <w:rsid w:val="00844CF4"/>
    <w:rsid w:val="00854EC9"/>
    <w:rsid w:val="00880B22"/>
    <w:rsid w:val="008831B5"/>
    <w:rsid w:val="00891DE5"/>
    <w:rsid w:val="008A5050"/>
    <w:rsid w:val="008A7A6A"/>
    <w:rsid w:val="008A7D6A"/>
    <w:rsid w:val="008B54AC"/>
    <w:rsid w:val="008B6C2B"/>
    <w:rsid w:val="008C06B8"/>
    <w:rsid w:val="008C085C"/>
    <w:rsid w:val="008C40D1"/>
    <w:rsid w:val="008D4244"/>
    <w:rsid w:val="008F0E30"/>
    <w:rsid w:val="009026BF"/>
    <w:rsid w:val="009142D4"/>
    <w:rsid w:val="00914B9C"/>
    <w:rsid w:val="00922812"/>
    <w:rsid w:val="00937468"/>
    <w:rsid w:val="00940A93"/>
    <w:rsid w:val="009430BA"/>
    <w:rsid w:val="009443CD"/>
    <w:rsid w:val="00963C24"/>
    <w:rsid w:val="00975958"/>
    <w:rsid w:val="0098232E"/>
    <w:rsid w:val="009828BD"/>
    <w:rsid w:val="00995EE8"/>
    <w:rsid w:val="00995F66"/>
    <w:rsid w:val="009A4398"/>
    <w:rsid w:val="009B4428"/>
    <w:rsid w:val="009B764C"/>
    <w:rsid w:val="009E4445"/>
    <w:rsid w:val="009E542D"/>
    <w:rsid w:val="009F567F"/>
    <w:rsid w:val="009F6B20"/>
    <w:rsid w:val="00A23A20"/>
    <w:rsid w:val="00A2684B"/>
    <w:rsid w:val="00A31429"/>
    <w:rsid w:val="00A331E9"/>
    <w:rsid w:val="00A36A75"/>
    <w:rsid w:val="00A41869"/>
    <w:rsid w:val="00A46117"/>
    <w:rsid w:val="00A60364"/>
    <w:rsid w:val="00A6123C"/>
    <w:rsid w:val="00A63A02"/>
    <w:rsid w:val="00A86FAE"/>
    <w:rsid w:val="00A901D5"/>
    <w:rsid w:val="00AA7461"/>
    <w:rsid w:val="00AB749A"/>
    <w:rsid w:val="00AC43D1"/>
    <w:rsid w:val="00AF24AE"/>
    <w:rsid w:val="00B00D4A"/>
    <w:rsid w:val="00B03176"/>
    <w:rsid w:val="00B30806"/>
    <w:rsid w:val="00B34E70"/>
    <w:rsid w:val="00B357E2"/>
    <w:rsid w:val="00B5217E"/>
    <w:rsid w:val="00B56F22"/>
    <w:rsid w:val="00B60FBA"/>
    <w:rsid w:val="00B61D77"/>
    <w:rsid w:val="00B648FF"/>
    <w:rsid w:val="00B66561"/>
    <w:rsid w:val="00B719AC"/>
    <w:rsid w:val="00B85694"/>
    <w:rsid w:val="00B86215"/>
    <w:rsid w:val="00B96DE8"/>
    <w:rsid w:val="00BB3980"/>
    <w:rsid w:val="00BB41F0"/>
    <w:rsid w:val="00BC687B"/>
    <w:rsid w:val="00BE24DF"/>
    <w:rsid w:val="00BE2BEC"/>
    <w:rsid w:val="00BE2F20"/>
    <w:rsid w:val="00BE42BA"/>
    <w:rsid w:val="00BF2D67"/>
    <w:rsid w:val="00C00114"/>
    <w:rsid w:val="00C13957"/>
    <w:rsid w:val="00C139CF"/>
    <w:rsid w:val="00C156BB"/>
    <w:rsid w:val="00C168E3"/>
    <w:rsid w:val="00C22CD3"/>
    <w:rsid w:val="00C3690F"/>
    <w:rsid w:val="00C41152"/>
    <w:rsid w:val="00C46D0D"/>
    <w:rsid w:val="00C5315F"/>
    <w:rsid w:val="00C6280B"/>
    <w:rsid w:val="00C724EA"/>
    <w:rsid w:val="00C77283"/>
    <w:rsid w:val="00C8340D"/>
    <w:rsid w:val="00C923F7"/>
    <w:rsid w:val="00C9531D"/>
    <w:rsid w:val="00CA0EE2"/>
    <w:rsid w:val="00CA126D"/>
    <w:rsid w:val="00CB5976"/>
    <w:rsid w:val="00CC3EF1"/>
    <w:rsid w:val="00CC42FE"/>
    <w:rsid w:val="00CC7B61"/>
    <w:rsid w:val="00CD0383"/>
    <w:rsid w:val="00CD2111"/>
    <w:rsid w:val="00D0384D"/>
    <w:rsid w:val="00D079E3"/>
    <w:rsid w:val="00D1418A"/>
    <w:rsid w:val="00D211E0"/>
    <w:rsid w:val="00D37ED6"/>
    <w:rsid w:val="00D466F6"/>
    <w:rsid w:val="00D73978"/>
    <w:rsid w:val="00D84A08"/>
    <w:rsid w:val="00D87AE7"/>
    <w:rsid w:val="00D90933"/>
    <w:rsid w:val="00D94E79"/>
    <w:rsid w:val="00DB482C"/>
    <w:rsid w:val="00DC40A2"/>
    <w:rsid w:val="00DD054E"/>
    <w:rsid w:val="00DD2F65"/>
    <w:rsid w:val="00DD5C9C"/>
    <w:rsid w:val="00E0435C"/>
    <w:rsid w:val="00E12D4B"/>
    <w:rsid w:val="00E17040"/>
    <w:rsid w:val="00E2219E"/>
    <w:rsid w:val="00E2666F"/>
    <w:rsid w:val="00E5671A"/>
    <w:rsid w:val="00E6704C"/>
    <w:rsid w:val="00E71919"/>
    <w:rsid w:val="00EA13D5"/>
    <w:rsid w:val="00EA4204"/>
    <w:rsid w:val="00EA754C"/>
    <w:rsid w:val="00EC462F"/>
    <w:rsid w:val="00EE0175"/>
    <w:rsid w:val="00F05FE2"/>
    <w:rsid w:val="00F235C6"/>
    <w:rsid w:val="00F260F4"/>
    <w:rsid w:val="00F279EA"/>
    <w:rsid w:val="00F308FA"/>
    <w:rsid w:val="00F35596"/>
    <w:rsid w:val="00F40264"/>
    <w:rsid w:val="00F43A35"/>
    <w:rsid w:val="00F51B81"/>
    <w:rsid w:val="00F5238F"/>
    <w:rsid w:val="00F5362F"/>
    <w:rsid w:val="00F5608C"/>
    <w:rsid w:val="00F87A22"/>
    <w:rsid w:val="00F93185"/>
    <w:rsid w:val="00F955A8"/>
    <w:rsid w:val="00F955C3"/>
    <w:rsid w:val="00FA09B8"/>
    <w:rsid w:val="00FA0C1C"/>
    <w:rsid w:val="00FB5A39"/>
    <w:rsid w:val="00FC2B82"/>
    <w:rsid w:val="00FD0C0C"/>
    <w:rsid w:val="00FD18E7"/>
    <w:rsid w:val="00FD297C"/>
    <w:rsid w:val="00FE05AE"/>
    <w:rsid w:val="00FF43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82E2D"/>
  <w15:chartTrackingRefBased/>
  <w15:docId w15:val="{A2C3438B-2A2A-4652-B6CB-D77C116F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45D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45D31"/>
    <w:rPr>
      <w:color w:val="808080"/>
    </w:rPr>
  </w:style>
  <w:style w:type="paragraph" w:styleId="Lijstalinea">
    <w:name w:val="List Paragraph"/>
    <w:basedOn w:val="Standaard"/>
    <w:uiPriority w:val="34"/>
    <w:qFormat/>
    <w:rsid w:val="00505545"/>
    <w:pPr>
      <w:ind w:left="720"/>
      <w:contextualSpacing/>
    </w:pPr>
    <w:rPr>
      <w:rFonts w:asciiTheme="minorHAnsi" w:hAnsiTheme="minorHAnsi" w:cstheme="minorBidi"/>
      <w:szCs w:val="24"/>
    </w:rPr>
  </w:style>
  <w:style w:type="table" w:styleId="Tabelraster">
    <w:name w:val="Table Grid"/>
    <w:basedOn w:val="Standaardtabel"/>
    <w:uiPriority w:val="39"/>
    <w:rsid w:val="00505545"/>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733972"/>
    <w:pPr>
      <w:spacing w:after="0" w:line="240" w:lineRule="auto"/>
    </w:pPr>
    <w:rPr>
      <w:rFonts w:ascii="Calibri" w:hAnsi="Calibri" w:cs="Calibri"/>
    </w:rPr>
  </w:style>
  <w:style w:type="character" w:styleId="Verwijzingopmerking">
    <w:name w:val="annotation reference"/>
    <w:basedOn w:val="Standaardalinea-lettertype"/>
    <w:uiPriority w:val="99"/>
    <w:semiHidden/>
    <w:unhideWhenUsed/>
    <w:rsid w:val="003F12FE"/>
    <w:rPr>
      <w:sz w:val="16"/>
      <w:szCs w:val="16"/>
    </w:rPr>
  </w:style>
  <w:style w:type="paragraph" w:styleId="Tekstopmerking">
    <w:name w:val="annotation text"/>
    <w:basedOn w:val="Standaard"/>
    <w:link w:val="TekstopmerkingChar"/>
    <w:uiPriority w:val="99"/>
    <w:unhideWhenUsed/>
    <w:rsid w:val="003F12FE"/>
    <w:rPr>
      <w:sz w:val="20"/>
      <w:szCs w:val="20"/>
    </w:rPr>
  </w:style>
  <w:style w:type="character" w:customStyle="1" w:styleId="TekstopmerkingChar">
    <w:name w:val="Tekst opmerking Char"/>
    <w:basedOn w:val="Standaardalinea-lettertype"/>
    <w:link w:val="Tekstopmerking"/>
    <w:uiPriority w:val="99"/>
    <w:rsid w:val="003F12FE"/>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3F12FE"/>
    <w:rPr>
      <w:b/>
      <w:bCs/>
    </w:rPr>
  </w:style>
  <w:style w:type="character" w:customStyle="1" w:styleId="OnderwerpvanopmerkingChar">
    <w:name w:val="Onderwerp van opmerking Char"/>
    <w:basedOn w:val="TekstopmerkingChar"/>
    <w:link w:val="Onderwerpvanopmerking"/>
    <w:uiPriority w:val="99"/>
    <w:semiHidden/>
    <w:rsid w:val="003F12FE"/>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039786">
      <w:bodyDiv w:val="1"/>
      <w:marLeft w:val="0"/>
      <w:marRight w:val="0"/>
      <w:marTop w:val="0"/>
      <w:marBottom w:val="0"/>
      <w:divBdr>
        <w:top w:val="none" w:sz="0" w:space="0" w:color="auto"/>
        <w:left w:val="none" w:sz="0" w:space="0" w:color="auto"/>
        <w:bottom w:val="none" w:sz="0" w:space="0" w:color="auto"/>
        <w:right w:val="none" w:sz="0" w:space="0" w:color="auto"/>
      </w:divBdr>
    </w:div>
    <w:div w:id="21369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Props1.xml><?xml version="1.0" encoding="utf-8"?>
<ds:datastoreItem xmlns:ds="http://schemas.openxmlformats.org/officeDocument/2006/customXml" ds:itemID="{0210FD84-925D-428C-9AAE-4CEA37863BFB}">
  <ds:schemaRefs>
    <ds:schemaRef ds:uri="http://schemas.microsoft.com/sharepoint/v3/contenttype/forms"/>
  </ds:schemaRefs>
</ds:datastoreItem>
</file>

<file path=customXml/itemProps2.xml><?xml version="1.0" encoding="utf-8"?>
<ds:datastoreItem xmlns:ds="http://schemas.openxmlformats.org/officeDocument/2006/customXml" ds:itemID="{4C978310-F6F1-4BD3-87F4-E2D321FEB01D}"/>
</file>

<file path=customXml/itemProps3.xml><?xml version="1.0" encoding="utf-8"?>
<ds:datastoreItem xmlns:ds="http://schemas.openxmlformats.org/officeDocument/2006/customXml" ds:itemID="{553CF613-EACC-4294-A178-42EA073A80F9}">
  <ds:schemaRefs>
    <ds:schemaRef ds:uri="http://schemas.microsoft.com/office/2006/metadata/properties"/>
    <ds:schemaRef ds:uri="http://schemas.microsoft.com/office/infopath/2007/PartnerControls"/>
    <ds:schemaRef ds:uri="80c0f480-7970-46f8-8250-54552af28c02"/>
    <ds:schemaRef ds:uri="f0c8ad39-e49c-465b-a14d-afada7938724"/>
  </ds:schemaRefs>
</ds:datastoreItem>
</file>

<file path=docMetadata/LabelInfo.xml><?xml version="1.0" encoding="utf-8"?>
<clbl:labelList xmlns:clbl="http://schemas.microsoft.com/office/2020/mipLabelMetadata">
  <clbl:label id="{6f9c9947-3a32-45de-834e-3b44abdccf0c}" enabled="0" method="" siteId="{6f9c9947-3a32-45de-834e-3b44abdccf0c}"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1588</Words>
  <Characters>8734</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AT Osborne B.V.</Company>
  <LinksUpToDate>false</LinksUpToDate>
  <CharactersWithSpaces>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Willem Kuil</dc:creator>
  <cp:keywords/>
  <dc:description/>
  <cp:lastModifiedBy>Jan Willem Kuil</cp:lastModifiedBy>
  <cp:revision>6</cp:revision>
  <dcterms:created xsi:type="dcterms:W3CDTF">2022-09-08T09:11:00Z</dcterms:created>
  <dcterms:modified xsi:type="dcterms:W3CDTF">2022-09-08T09:33:00Z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ediaServiceImageTags">
    <vt:lpwstr/>
  </property>
</Properties>
</file>