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398E1" w14:textId="7E3329EE" w:rsidR="003D3D8F" w:rsidRPr="000A2AF8" w:rsidRDefault="003D3D8F" w:rsidP="003D3D8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Verslag werkgroep </w:t>
      </w:r>
      <w:r w:rsidRPr="000A2AF8">
        <w:rPr>
          <w:b/>
          <w:bCs/>
          <w:u w:val="single"/>
        </w:rPr>
        <w:t xml:space="preserve">Verantwoording BVOV </w:t>
      </w:r>
      <w:r w:rsidR="00B60FBA">
        <w:rPr>
          <w:b/>
          <w:bCs/>
          <w:u w:val="single"/>
        </w:rPr>
        <w:t>11</w:t>
      </w:r>
      <w:r w:rsidRPr="000A2AF8">
        <w:rPr>
          <w:b/>
          <w:bCs/>
          <w:u w:val="single"/>
        </w:rPr>
        <w:t>/</w:t>
      </w:r>
      <w:r w:rsidR="00A31429">
        <w:rPr>
          <w:b/>
          <w:bCs/>
          <w:u w:val="single"/>
        </w:rPr>
        <w:t>8</w:t>
      </w:r>
      <w:r w:rsidRPr="000A2AF8">
        <w:rPr>
          <w:b/>
          <w:bCs/>
          <w:u w:val="single"/>
        </w:rPr>
        <w:t>/22</w:t>
      </w:r>
    </w:p>
    <w:p w14:paraId="47D23D6B" w14:textId="3784523A" w:rsidR="00345D31" w:rsidRPr="00071C9B" w:rsidRDefault="00EA13D5" w:rsidP="00345D31">
      <w:pPr>
        <w:rPr>
          <w:u w:val="single"/>
        </w:rPr>
      </w:pPr>
      <w:r w:rsidRPr="00071C9B">
        <w:rPr>
          <w:u w:val="single"/>
        </w:rPr>
        <w:t xml:space="preserve">Aanwezig: </w:t>
      </w:r>
      <w:r w:rsidR="00345D31" w:rsidRPr="00071C9B">
        <w:t xml:space="preserve">Rob Rijnhout (IenW), Dheeraj Bachoe (ADR), Ariens Kruijt (DOVA), Loek Dieteren (Limburg), </w:t>
      </w:r>
      <w:r w:rsidR="004C4516" w:rsidRPr="00071C9B">
        <w:t xml:space="preserve">Bart </w:t>
      </w:r>
      <w:r w:rsidR="00071C9B" w:rsidRPr="00071C9B">
        <w:t>Snel (IenW).</w:t>
      </w:r>
    </w:p>
    <w:p w14:paraId="15B7D1B7" w14:textId="77777777" w:rsidR="00345D31" w:rsidRDefault="00345D31" w:rsidP="00345D31"/>
    <w:p w14:paraId="736B14A4" w14:textId="77777777" w:rsidR="00345D31" w:rsidRDefault="00345D31" w:rsidP="00345D31"/>
    <w:p w14:paraId="56115C79" w14:textId="77777777" w:rsidR="00345D31" w:rsidRDefault="00345D31" w:rsidP="00345D31">
      <w:pPr>
        <w:numPr>
          <w:ilvl w:val="0"/>
          <w:numId w:val="1"/>
        </w:numPr>
        <w:spacing w:after="240"/>
        <w:rPr>
          <w:rFonts w:eastAsia="Times New Roman"/>
        </w:rPr>
      </w:pPr>
      <w:r>
        <w:rPr>
          <w:rFonts w:eastAsia="Times New Roman"/>
          <w:i/>
          <w:iCs/>
        </w:rPr>
        <w:t>Opening, mededelingen, vaststellen agenda</w:t>
      </w:r>
    </w:p>
    <w:p w14:paraId="73157A13" w14:textId="0B3D6770" w:rsidR="00345D31" w:rsidRDefault="00345D31" w:rsidP="00345D31">
      <w:pPr>
        <w:spacing w:after="240"/>
        <w:ind w:left="708"/>
      </w:pPr>
      <w:r>
        <w:t>Bart vervult vanaf nu de voorzittersrol.</w:t>
      </w:r>
      <w:r w:rsidR="00891DE5">
        <w:t xml:space="preserve"> Mahir </w:t>
      </w:r>
      <w:r w:rsidR="00AA7461">
        <w:t>Sari (DOVA) zal deel gaan nemen aan het overleg.</w:t>
      </w:r>
    </w:p>
    <w:p w14:paraId="19F92F3A" w14:textId="77777777" w:rsidR="00345D31" w:rsidRDefault="00345D31" w:rsidP="00345D31">
      <w:pPr>
        <w:numPr>
          <w:ilvl w:val="0"/>
          <w:numId w:val="1"/>
        </w:numPr>
        <w:spacing w:after="240"/>
        <w:rPr>
          <w:rFonts w:eastAsia="Times New Roman"/>
        </w:rPr>
      </w:pPr>
      <w:r>
        <w:rPr>
          <w:rFonts w:eastAsia="Times New Roman"/>
          <w:i/>
          <w:iCs/>
        </w:rPr>
        <w:t>Verslag 30 juni, 14 juli en actielijst</w:t>
      </w:r>
    </w:p>
    <w:p w14:paraId="07959585" w14:textId="721EB028" w:rsidR="00345D31" w:rsidRDefault="00C13957" w:rsidP="00345D31">
      <w:pPr>
        <w:spacing w:after="240"/>
        <w:ind w:left="360" w:firstLine="348"/>
      </w:pPr>
      <w:r>
        <w:t xml:space="preserve">Beide verslagen worden vastgesteld. </w:t>
      </w:r>
    </w:p>
    <w:p w14:paraId="233C0615" w14:textId="0EA752D2" w:rsidR="00345D31" w:rsidRDefault="00345D31" w:rsidP="00345D31">
      <w:pPr>
        <w:spacing w:after="240"/>
        <w:ind w:left="360" w:firstLine="348"/>
      </w:pPr>
      <w:r>
        <w:t xml:space="preserve">Actielijst: </w:t>
      </w:r>
      <w:r w:rsidR="00B66561">
        <w:t xml:space="preserve">zie onderstaand bijgewerkt. </w:t>
      </w:r>
    </w:p>
    <w:p w14:paraId="1095D3CE" w14:textId="77777777" w:rsidR="00345D31" w:rsidRDefault="00345D31" w:rsidP="00345D31">
      <w:pPr>
        <w:numPr>
          <w:ilvl w:val="0"/>
          <w:numId w:val="1"/>
        </w:numPr>
        <w:spacing w:after="240"/>
        <w:rPr>
          <w:rFonts w:eastAsia="Times New Roman"/>
        </w:rPr>
      </w:pPr>
      <w:r>
        <w:rPr>
          <w:rFonts w:eastAsia="Times New Roman"/>
          <w:i/>
          <w:iCs/>
        </w:rPr>
        <w:t>Transitievangnet 2023</w:t>
      </w:r>
    </w:p>
    <w:p w14:paraId="53A5A0B7" w14:textId="6A533B82" w:rsidR="003F3BBD" w:rsidRDefault="00345D31" w:rsidP="00345D31">
      <w:pPr>
        <w:spacing w:after="240"/>
        <w:ind w:left="708"/>
      </w:pPr>
      <w:r>
        <w:t>Toelichting stand van zaken</w:t>
      </w:r>
      <w:r w:rsidR="008A7A6A">
        <w:t xml:space="preserve"> door Bart:</w:t>
      </w:r>
      <w:r w:rsidR="00505545">
        <w:t xml:space="preserve"> </w:t>
      </w:r>
      <w:r w:rsidR="008A7A6A">
        <w:t>Beoogd is publicatie</w:t>
      </w:r>
      <w:r w:rsidR="00C923F7">
        <w:t xml:space="preserve"> </w:t>
      </w:r>
      <w:r w:rsidR="00B357E2">
        <w:t xml:space="preserve">Transitievergoeding, verder </w:t>
      </w:r>
      <w:r w:rsidR="00C923F7">
        <w:t>TVOV</w:t>
      </w:r>
      <w:r w:rsidR="008A7A6A">
        <w:t xml:space="preserve"> voor </w:t>
      </w:r>
      <w:r w:rsidR="00505545">
        <w:t>1</w:t>
      </w:r>
      <w:r w:rsidR="008A7A6A">
        <w:t xml:space="preserve">/10/22. </w:t>
      </w:r>
      <w:r w:rsidR="00505545">
        <w:t>Eindconcept komt</w:t>
      </w:r>
      <w:r w:rsidR="008A7A6A">
        <w:t xml:space="preserve"> eerst</w:t>
      </w:r>
      <w:r w:rsidR="00505545">
        <w:t xml:space="preserve"> in</w:t>
      </w:r>
      <w:r w:rsidR="008A7A6A">
        <w:t xml:space="preserve"> </w:t>
      </w:r>
      <w:r w:rsidR="00505545">
        <w:t xml:space="preserve">fin. </w:t>
      </w:r>
      <w:proofErr w:type="spellStart"/>
      <w:r w:rsidR="008A7A6A">
        <w:t>w</w:t>
      </w:r>
      <w:r w:rsidR="00505545">
        <w:t>g</w:t>
      </w:r>
      <w:proofErr w:type="spellEnd"/>
      <w:r w:rsidR="00505545">
        <w:t xml:space="preserve"> NOVB. </w:t>
      </w:r>
      <w:proofErr w:type="spellStart"/>
      <w:r w:rsidR="00505545">
        <w:t>DO’s</w:t>
      </w:r>
      <w:proofErr w:type="spellEnd"/>
      <w:r w:rsidR="00505545">
        <w:t xml:space="preserve"> hebben bestuurlijk aangegeven niet akkoord te gaan. DOVA: Tendens is dat grote steden wel gebruik </w:t>
      </w:r>
      <w:r w:rsidR="00733972">
        <w:t xml:space="preserve">willen </w:t>
      </w:r>
      <w:r w:rsidR="00505545">
        <w:t>maken, en streekconcessies niet. Dit is gerelateerd aan het type aandeelhouder</w:t>
      </w:r>
      <w:r w:rsidR="00310C37">
        <w:t xml:space="preserve"> (publiek/privaat), maar afhankelijk van </w:t>
      </w:r>
      <w:r w:rsidR="00505545">
        <w:t>de</w:t>
      </w:r>
      <w:r w:rsidR="00310C37">
        <w:t xml:space="preserve"> nog onbekende</w:t>
      </w:r>
      <w:r w:rsidR="00505545">
        <w:t xml:space="preserve"> specifieke voorwaarden. IenW elke concessie kent plafond 82%</w:t>
      </w:r>
      <w:r w:rsidR="003A3189">
        <w:t xml:space="preserve"> reizigersink</w:t>
      </w:r>
      <w:r w:rsidR="00354A7E">
        <w:t>omsten</w:t>
      </w:r>
      <w:r w:rsidR="00C923F7">
        <w:t xml:space="preserve"> *</w:t>
      </w:r>
      <w:r w:rsidR="00354A7E">
        <w:t xml:space="preserve"> 2/3</w:t>
      </w:r>
      <w:r w:rsidR="003A3189">
        <w:t xml:space="preserve">. </w:t>
      </w:r>
      <w:r w:rsidR="00505545">
        <w:t xml:space="preserve"> Geen communicerende vaten tussen concessies.</w:t>
      </w:r>
      <w:r w:rsidR="009B4428">
        <w:t xml:space="preserve"> </w:t>
      </w:r>
      <w:r w:rsidR="004525F8">
        <w:t>Minder concessies zullen</w:t>
      </w:r>
      <w:r w:rsidR="00771A4A">
        <w:t xml:space="preserve"> </w:t>
      </w:r>
      <w:r w:rsidR="00BE2BEC">
        <w:t>naar verwachting</w:t>
      </w:r>
      <w:r w:rsidR="004525F8">
        <w:t xml:space="preserve"> gebruik maken</w:t>
      </w:r>
      <w:r w:rsidR="00BE2BEC">
        <w:t xml:space="preserve"> van T</w:t>
      </w:r>
      <w:r w:rsidR="005B2690">
        <w:t xml:space="preserve">VOV </w:t>
      </w:r>
      <w:r w:rsidR="00BE2BEC">
        <w:t>dan BVOV vanwege toenemende reizigersopbrengsten.</w:t>
      </w:r>
      <w:r w:rsidR="007013EE">
        <w:t xml:space="preserve"> </w:t>
      </w:r>
      <w:r w:rsidR="008B54AC">
        <w:t>Ariëns</w:t>
      </w:r>
      <w:r w:rsidR="005B2690">
        <w:t>:</w:t>
      </w:r>
      <w:r w:rsidR="008B54AC">
        <w:t xml:space="preserve"> </w:t>
      </w:r>
      <w:r w:rsidR="005B2690">
        <w:t xml:space="preserve">bij </w:t>
      </w:r>
      <w:r w:rsidR="00B85694">
        <w:t xml:space="preserve">verlengde- en noodconcessies waarin rendement wordt gemaakt door vervoerders, </w:t>
      </w:r>
      <w:r w:rsidR="008C085C">
        <w:t>lijkt</w:t>
      </w:r>
      <w:r w:rsidR="00B85694">
        <w:t xml:space="preserve"> geen ge</w:t>
      </w:r>
      <w:r w:rsidR="003F3BBD">
        <w:t xml:space="preserve">bruik </w:t>
      </w:r>
      <w:r w:rsidR="008C085C">
        <w:t xml:space="preserve">te kunnen worden gemaakt </w:t>
      </w:r>
      <w:r w:rsidR="003F3BBD">
        <w:t xml:space="preserve">van </w:t>
      </w:r>
      <w:r w:rsidR="008C085C">
        <w:t xml:space="preserve">het </w:t>
      </w:r>
      <w:r w:rsidR="003F3BBD">
        <w:t>transitievangnet</w:t>
      </w:r>
      <w:r w:rsidR="008C085C">
        <w:t>.</w:t>
      </w:r>
      <w:r w:rsidR="003F3BBD">
        <w:t xml:space="preserve"> </w:t>
      </w:r>
    </w:p>
    <w:p w14:paraId="5EEB3A0F" w14:textId="0E9207FD" w:rsidR="00345D31" w:rsidRDefault="004525F8" w:rsidP="00345D31">
      <w:pPr>
        <w:spacing w:after="240"/>
        <w:ind w:left="708"/>
      </w:pPr>
      <w:r>
        <w:t xml:space="preserve">Over 2 weken </w:t>
      </w:r>
      <w:r w:rsidR="000A6FBC">
        <w:t>(24/</w:t>
      </w:r>
      <w:r w:rsidR="00F93185">
        <w:t xml:space="preserve">8/22) </w:t>
      </w:r>
      <w:r>
        <w:t>wordt de technische noti</w:t>
      </w:r>
      <w:r w:rsidRPr="00645761">
        <w:t xml:space="preserve">tie TVOV </w:t>
      </w:r>
      <w:r w:rsidR="007F2002" w:rsidRPr="00645761">
        <w:t>in beginsel</w:t>
      </w:r>
      <w:r w:rsidR="003F3BBD" w:rsidRPr="00645761">
        <w:t xml:space="preserve"> </w:t>
      </w:r>
      <w:r w:rsidRPr="00645761">
        <w:t>met de financiele werkgroep</w:t>
      </w:r>
      <w:r w:rsidR="007F2002" w:rsidRPr="00645761">
        <w:t xml:space="preserve"> NOVB</w:t>
      </w:r>
      <w:r w:rsidRPr="00645761">
        <w:t xml:space="preserve"> </w:t>
      </w:r>
      <w:r w:rsidR="00505545" w:rsidRPr="00645761">
        <w:t xml:space="preserve"> </w:t>
      </w:r>
      <w:r w:rsidRPr="00645761">
        <w:t xml:space="preserve">gedeeld. </w:t>
      </w:r>
      <w:r w:rsidR="00645761" w:rsidRPr="00645761">
        <w:t xml:space="preserve">Ariëns: wellicht ook in </w:t>
      </w:r>
      <w:r w:rsidR="00645761" w:rsidRPr="00645761">
        <w:rPr>
          <w:rFonts w:eastAsia="Times New Roman"/>
        </w:rPr>
        <w:t>directeurenoverleg 1 september? Ja, mits Regeling dan gereed. Sowies</w:t>
      </w:r>
      <w:r w:rsidR="00645761">
        <w:rPr>
          <w:rFonts w:eastAsia="Times New Roman"/>
        </w:rPr>
        <w:t>o</w:t>
      </w:r>
      <w:r w:rsidR="00645761" w:rsidRPr="00645761">
        <w:rPr>
          <w:rFonts w:eastAsia="Times New Roman"/>
        </w:rPr>
        <w:t xml:space="preserve"> gespreksonderwerp.</w:t>
      </w:r>
    </w:p>
    <w:p w14:paraId="011F4272" w14:textId="533737D5" w:rsidR="00345D31" w:rsidRDefault="00345D31" w:rsidP="00345D31">
      <w:pPr>
        <w:numPr>
          <w:ilvl w:val="0"/>
          <w:numId w:val="1"/>
        </w:numPr>
        <w:spacing w:after="240"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Stand van zaken verantwoording bvov 2020, 2021 en aanvragen regeling 2022</w:t>
      </w:r>
    </w:p>
    <w:p w14:paraId="4C2521F3" w14:textId="48A01D37" w:rsidR="002A5306" w:rsidRDefault="00685C14" w:rsidP="002A5306">
      <w:pPr>
        <w:spacing w:after="240"/>
        <w:ind w:left="720"/>
        <w:rPr>
          <w:rFonts w:eastAsia="Times New Roman"/>
        </w:rPr>
      </w:pPr>
      <w:r>
        <w:rPr>
          <w:rFonts w:eastAsia="Times New Roman"/>
        </w:rPr>
        <w:t>Verantwoording BVOV</w:t>
      </w:r>
      <w:r w:rsidR="00242A95">
        <w:rPr>
          <w:rFonts w:eastAsia="Times New Roman"/>
        </w:rPr>
        <w:t xml:space="preserve"> 2020</w:t>
      </w:r>
      <w:r>
        <w:rPr>
          <w:rFonts w:eastAsia="Times New Roman"/>
        </w:rPr>
        <w:t xml:space="preserve">. HRN loopt. Overige concessies, via BZK komen SISA gegevens bij IenW, naar verwachting september. </w:t>
      </w:r>
    </w:p>
    <w:p w14:paraId="050C9C9D" w14:textId="151A353D" w:rsidR="000B0E21" w:rsidRPr="002A5306" w:rsidRDefault="00F235C6" w:rsidP="002A5306">
      <w:pPr>
        <w:spacing w:after="240"/>
        <w:ind w:left="720"/>
        <w:rPr>
          <w:rFonts w:eastAsia="Times New Roman"/>
        </w:rPr>
      </w:pPr>
      <w:r w:rsidRPr="00242A95">
        <w:rPr>
          <w:rFonts w:eastAsia="Times New Roman"/>
        </w:rPr>
        <w:t xml:space="preserve">Aanvragen </w:t>
      </w:r>
      <w:r w:rsidR="00702CA2">
        <w:rPr>
          <w:rFonts w:eastAsia="Times New Roman"/>
        </w:rPr>
        <w:t xml:space="preserve">BVOV </w:t>
      </w:r>
      <w:r w:rsidRPr="00242A95">
        <w:rPr>
          <w:rFonts w:eastAsia="Times New Roman"/>
        </w:rPr>
        <w:t>202</w:t>
      </w:r>
      <w:r w:rsidR="00CB5976">
        <w:rPr>
          <w:rFonts w:eastAsia="Times New Roman"/>
        </w:rPr>
        <w:t>2</w:t>
      </w:r>
      <w:r w:rsidRPr="00242A95">
        <w:rPr>
          <w:rFonts w:eastAsia="Times New Roman"/>
        </w:rPr>
        <w:t xml:space="preserve">: </w:t>
      </w:r>
      <w:r w:rsidR="00FD0C0C">
        <w:rPr>
          <w:rFonts w:eastAsia="Times New Roman"/>
        </w:rPr>
        <w:t>HRN/</w:t>
      </w:r>
      <w:r w:rsidR="000B0E21" w:rsidRPr="00242A95">
        <w:t>NS</w:t>
      </w:r>
      <w:r w:rsidR="002A5306" w:rsidRPr="00242A95">
        <w:t xml:space="preserve"> en</w:t>
      </w:r>
      <w:r w:rsidR="000B0E21" w:rsidRPr="00242A95">
        <w:t xml:space="preserve"> VRA </w:t>
      </w:r>
      <w:r w:rsidR="00FD0C0C">
        <w:t>(</w:t>
      </w:r>
      <w:r w:rsidR="000B0E21" w:rsidRPr="00242A95">
        <w:t xml:space="preserve">alleen </w:t>
      </w:r>
      <w:r w:rsidR="00FD0C0C">
        <w:t xml:space="preserve">voor </w:t>
      </w:r>
      <w:r w:rsidR="000B0E21" w:rsidRPr="00242A95">
        <w:t>GVB</w:t>
      </w:r>
      <w:r w:rsidR="00FD0C0C">
        <w:t>)</w:t>
      </w:r>
      <w:r w:rsidR="000B0E21" w:rsidRPr="00242A95">
        <w:t xml:space="preserve"> en MRDH (</w:t>
      </w:r>
      <w:r w:rsidR="00B34E70">
        <w:t>HTM</w:t>
      </w:r>
      <w:r w:rsidR="000B0E21" w:rsidRPr="00242A95">
        <w:t xml:space="preserve"> en 2 streekconce</w:t>
      </w:r>
      <w:r w:rsidR="00733972">
        <w:t>s</w:t>
      </w:r>
      <w:r w:rsidR="000B0E21" w:rsidRPr="00242A95">
        <w:t>sies</w:t>
      </w:r>
      <w:r w:rsidR="00B34E70">
        <w:t xml:space="preserve">, dus nog niet </w:t>
      </w:r>
      <w:r w:rsidR="000B0E21">
        <w:t>RET</w:t>
      </w:r>
      <w:r w:rsidR="00B34E70">
        <w:t>)</w:t>
      </w:r>
      <w:r w:rsidR="000B0E21">
        <w:t>.</w:t>
      </w:r>
      <w:r w:rsidR="002A5306">
        <w:t xml:space="preserve"> </w:t>
      </w:r>
      <w:r w:rsidR="00FD0C0C">
        <w:t>Is belangstelling er wel om aan te vragen?</w:t>
      </w:r>
      <w:r w:rsidR="00242A95">
        <w:t xml:space="preserve"> </w:t>
      </w:r>
      <w:r w:rsidR="00702CA2">
        <w:t xml:space="preserve">In </w:t>
      </w:r>
      <w:r w:rsidR="00733972">
        <w:t>Financiële</w:t>
      </w:r>
      <w:r w:rsidR="00702CA2">
        <w:t xml:space="preserve"> </w:t>
      </w:r>
      <w:proofErr w:type="spellStart"/>
      <w:r w:rsidR="00702CA2">
        <w:t>Wg</w:t>
      </w:r>
      <w:proofErr w:type="spellEnd"/>
      <w:r w:rsidR="00702CA2">
        <w:t xml:space="preserve"> NOVB zal worden gevraagd wat status</w:t>
      </w:r>
      <w:r w:rsidR="0098232E">
        <w:t xml:space="preserve"> van</w:t>
      </w:r>
      <w:r w:rsidR="00702CA2">
        <w:t xml:space="preserve"> andere aanvragen is.</w:t>
      </w:r>
    </w:p>
    <w:p w14:paraId="2744BF98" w14:textId="1D9A95A6" w:rsidR="00345D31" w:rsidRPr="004525F8" w:rsidRDefault="00345D31" w:rsidP="00345D31">
      <w:pPr>
        <w:numPr>
          <w:ilvl w:val="0"/>
          <w:numId w:val="1"/>
        </w:numPr>
        <w:spacing w:after="240"/>
        <w:rPr>
          <w:rFonts w:eastAsia="Times New Roman"/>
        </w:rPr>
      </w:pPr>
      <w:proofErr w:type="spellStart"/>
      <w:r>
        <w:rPr>
          <w:rFonts w:eastAsia="Times New Roman"/>
          <w:i/>
          <w:iCs/>
        </w:rPr>
        <w:t>Wvttk</w:t>
      </w:r>
      <w:proofErr w:type="spellEnd"/>
    </w:p>
    <w:p w14:paraId="19E24043" w14:textId="40EA2DCE" w:rsidR="000D2D6D" w:rsidRDefault="000D2D6D" w:rsidP="000D2D6D">
      <w:pPr>
        <w:pStyle w:val="Lijstalinea"/>
        <w:spacing w:after="160" w:line="259" w:lineRule="auto"/>
      </w:pPr>
      <w:r>
        <w:t xml:space="preserve">CROW stelt </w:t>
      </w:r>
      <w:r w:rsidR="00733972">
        <w:t>jaarlijks het rapport ‘S</w:t>
      </w:r>
      <w:r>
        <w:t>taat van het OV</w:t>
      </w:r>
      <w:r w:rsidR="00733972">
        <w:t>’</w:t>
      </w:r>
      <w:r>
        <w:t xml:space="preserve"> op</w:t>
      </w:r>
      <w:r w:rsidR="006D2E3A">
        <w:t>; omvat</w:t>
      </w:r>
      <w:r>
        <w:t xml:space="preserve"> subsidie</w:t>
      </w:r>
      <w:r w:rsidR="00733972">
        <w:t>s</w:t>
      </w:r>
      <w:r w:rsidR="006D2E3A">
        <w:t xml:space="preserve"> en</w:t>
      </w:r>
      <w:r>
        <w:t xml:space="preserve"> mate van </w:t>
      </w:r>
      <w:proofErr w:type="spellStart"/>
      <w:r>
        <w:t>kostendekkendheid</w:t>
      </w:r>
      <w:proofErr w:type="spellEnd"/>
      <w:r w:rsidR="00733972">
        <w:t xml:space="preserve"> per concessies</w:t>
      </w:r>
      <w:r>
        <w:t>. ACM vroeg info op bij CROW zodat men dan niet per DO hoefde te doen,</w:t>
      </w:r>
      <w:r w:rsidR="006D2E3A">
        <w:t xml:space="preserve"> teneinde deze </w:t>
      </w:r>
      <w:r>
        <w:t>info geaggregeerd te gebruiken. Vraag aan DOVA: hieraan meewerken</w:t>
      </w:r>
      <w:r w:rsidR="006D2E3A">
        <w:t xml:space="preserve">. </w:t>
      </w:r>
      <w:r>
        <w:t xml:space="preserve">Reactie DOVA: is openbare info, waarom niet? Rob/IenW: prudent mee omgaan want vertrouwelijkheid is aan vervoerders beloofd. IenW verstrekt info niet. Als </w:t>
      </w:r>
      <w:proofErr w:type="spellStart"/>
      <w:r>
        <w:t>DO’s</w:t>
      </w:r>
      <w:proofErr w:type="spellEnd"/>
      <w:r>
        <w:t xml:space="preserve"> dat doen is dat prima. Ariens: is in 2020 ook gedaan en heeft niemand bezwaar gemaakt, en subsidie is openbare info. </w:t>
      </w:r>
    </w:p>
    <w:p w14:paraId="17C7F8CC" w14:textId="77777777" w:rsidR="000D2D6D" w:rsidRDefault="000D2D6D" w:rsidP="000D2D6D">
      <w:pPr>
        <w:pStyle w:val="Lijstalinea"/>
        <w:spacing w:after="160" w:line="259" w:lineRule="auto"/>
      </w:pPr>
    </w:p>
    <w:p w14:paraId="3EBEBC8B" w14:textId="403BBD45" w:rsidR="000D2D6D" w:rsidRDefault="000D2D6D" w:rsidP="0067422F">
      <w:pPr>
        <w:pStyle w:val="Lijstalinea"/>
        <w:spacing w:after="160" w:line="259" w:lineRule="auto"/>
      </w:pPr>
      <w:r>
        <w:lastRenderedPageBreak/>
        <w:t xml:space="preserve">IenW: kan  deze info niet direct worden verstrekt door </w:t>
      </w:r>
      <w:proofErr w:type="spellStart"/>
      <w:r>
        <w:t>DO’s</w:t>
      </w:r>
      <w:proofErr w:type="spellEnd"/>
      <w:r>
        <w:t xml:space="preserve"> op verzoek ACM en niet via een openbaar rapport</w:t>
      </w:r>
      <w:r w:rsidR="0046392B">
        <w:t>?</w:t>
      </w:r>
      <w:r>
        <w:t xml:space="preserve"> Ariens: Wat een overheid aan subsidie geeft, dus ook per concessie, is openbaar. </w:t>
      </w:r>
      <w:r w:rsidR="00EC462F">
        <w:t>IenW</w:t>
      </w:r>
      <w:r>
        <w:t xml:space="preserve">: </w:t>
      </w:r>
      <w:r w:rsidR="00EC462F">
        <w:t>Mogelijk m</w:t>
      </w:r>
      <w:r>
        <w:t xml:space="preserve">arktverstorend effect: want met beperkte extra info, kun je feitelijke kosten en marges van een concessie bepalen, met name in 2021 en 2022. Liever niet per concessie publiceren. </w:t>
      </w:r>
      <w:r w:rsidR="0067422F">
        <w:t>Loek</w:t>
      </w:r>
      <w:r>
        <w:t xml:space="preserve"> vraagt zich af of de info die je</w:t>
      </w:r>
      <w:r w:rsidR="001E65BF">
        <w:t xml:space="preserve"> via CROW </w:t>
      </w:r>
      <w:r w:rsidR="003F12FE">
        <w:t>S</w:t>
      </w:r>
      <w:r w:rsidR="001E65BF">
        <w:t>taat van OV</w:t>
      </w:r>
      <w:r>
        <w:t xml:space="preserve"> kunt destilleren zo specifiek </w:t>
      </w:r>
      <w:r w:rsidR="001E65BF">
        <w:t xml:space="preserve">zal zijn </w:t>
      </w:r>
      <w:r>
        <w:t>dat je er echt iets mee kunt</w:t>
      </w:r>
      <w:r w:rsidR="0067422F">
        <w:t xml:space="preserve"> en of vervoerders deze kennis niet al onderling </w:t>
      </w:r>
      <w:r w:rsidR="001E65BF">
        <w:t xml:space="preserve">van elkaar </w:t>
      </w:r>
      <w:r w:rsidR="0067422F">
        <w:t>hebben.</w:t>
      </w:r>
    </w:p>
    <w:p w14:paraId="796B3628" w14:textId="77777777" w:rsidR="0071738A" w:rsidRDefault="0071738A" w:rsidP="0071738A">
      <w:pPr>
        <w:pStyle w:val="Lijstalinea"/>
        <w:spacing w:after="240"/>
      </w:pPr>
    </w:p>
    <w:p w14:paraId="682D1199" w14:textId="77777777" w:rsidR="00F5608C" w:rsidRDefault="0071738A" w:rsidP="00F5608C">
      <w:pPr>
        <w:pStyle w:val="Lijstalinea"/>
        <w:spacing w:after="240"/>
      </w:pPr>
      <w:r>
        <w:t xml:space="preserve">Afspraak is dat Ariens met een standpuntbepaling namens DOVA komt, indachtig dat de vraag feitelijk bij CROW ligt. </w:t>
      </w:r>
      <w:r w:rsidR="002A2F10">
        <w:t>Wordt in volgend overleg besproken.</w:t>
      </w:r>
    </w:p>
    <w:p w14:paraId="1376FC32" w14:textId="77777777" w:rsidR="00345D31" w:rsidRDefault="00345D31" w:rsidP="00345D31">
      <w:pPr>
        <w:numPr>
          <w:ilvl w:val="0"/>
          <w:numId w:val="1"/>
        </w:numPr>
        <w:spacing w:after="240"/>
        <w:rPr>
          <w:rFonts w:eastAsia="Times New Roman"/>
        </w:rPr>
      </w:pPr>
      <w:r>
        <w:rPr>
          <w:rFonts w:eastAsia="Times New Roman"/>
          <w:i/>
          <w:iCs/>
        </w:rPr>
        <w:t>Volgende afspraak en sluiting</w:t>
      </w:r>
    </w:p>
    <w:p w14:paraId="1A7EE738" w14:textId="77777777" w:rsidR="00505545" w:rsidRDefault="00505545" w:rsidP="00505545">
      <w:pPr>
        <w:rPr>
          <w:rFonts w:asciiTheme="minorHAnsi" w:eastAsia="Times New Roman" w:hAnsiTheme="minorHAnsi" w:cstheme="minorBidi"/>
        </w:rPr>
      </w:pPr>
    </w:p>
    <w:tbl>
      <w:tblPr>
        <w:tblStyle w:val="Tabelraster"/>
        <w:tblW w:w="9014" w:type="dxa"/>
        <w:tblInd w:w="0" w:type="dxa"/>
        <w:tblLook w:val="04A0" w:firstRow="1" w:lastRow="0" w:firstColumn="1" w:lastColumn="0" w:noHBand="0" w:noVBand="1"/>
      </w:tblPr>
      <w:tblGrid>
        <w:gridCol w:w="422"/>
        <w:gridCol w:w="2728"/>
        <w:gridCol w:w="1460"/>
        <w:gridCol w:w="2279"/>
        <w:gridCol w:w="2125"/>
      </w:tblGrid>
      <w:tr w:rsidR="006B6A77" w14:paraId="35CD2186" w14:textId="77777777" w:rsidTr="00505545">
        <w:trPr>
          <w:tblHeader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790C43" w14:textId="77777777" w:rsidR="00505545" w:rsidRDefault="00505545">
            <w:pPr>
              <w:rPr>
                <w:b/>
                <w:bCs/>
                <w:i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BD833AA" w14:textId="77777777" w:rsidR="00505545" w:rsidRDefault="00505545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Actie/afspraak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42EBFB" w14:textId="77777777" w:rsidR="00505545" w:rsidRDefault="00505545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Wie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263D354" w14:textId="77777777" w:rsidR="00505545" w:rsidRDefault="00505545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Datum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AAEFA82" w14:textId="77777777" w:rsidR="00505545" w:rsidRDefault="00505545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Toelichting</w:t>
            </w:r>
          </w:p>
        </w:tc>
      </w:tr>
      <w:tr w:rsidR="006B6A77" w14:paraId="331159C1" w14:textId="77777777" w:rsidTr="00505545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E96C" w14:textId="77777777" w:rsidR="00505545" w:rsidRDefault="0050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6A29C" w14:textId="2CC501F5" w:rsidR="00505545" w:rsidRDefault="0050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Uitwerken proces</w:t>
            </w:r>
            <w:r w:rsidR="005B3574">
              <w:rPr>
                <w:sz w:val="18"/>
                <w:szCs w:val="18"/>
              </w:rPr>
              <w:t>schets</w:t>
            </w:r>
            <w:r>
              <w:rPr>
                <w:sz w:val="18"/>
                <w:szCs w:val="18"/>
              </w:rPr>
              <w:t xml:space="preserve"> I&amp;W om tot vaststelling</w:t>
            </w:r>
            <w:r w:rsidR="0040210B">
              <w:rPr>
                <w:sz w:val="18"/>
                <w:szCs w:val="18"/>
              </w:rPr>
              <w:t xml:space="preserve"> BVOV 2020</w:t>
            </w:r>
            <w:r>
              <w:rPr>
                <w:sz w:val="18"/>
                <w:szCs w:val="18"/>
              </w:rPr>
              <w:t xml:space="preserve"> te komen en voor advies voorleggen aan ADR (Dheeraj)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9145C" w14:textId="77777777" w:rsidR="00505545" w:rsidRDefault="0050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JW en Rob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EF786" w14:textId="54BB0850" w:rsidR="00505545" w:rsidRDefault="005B35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25/8/22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A8AF3" w14:textId="77777777" w:rsidR="00505545" w:rsidRDefault="0050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overleg met UDAC, Dennis </w:t>
            </w:r>
          </w:p>
        </w:tc>
      </w:tr>
      <w:tr w:rsidR="006B6A77" w14:paraId="5AFAF194" w14:textId="77777777" w:rsidTr="00A63A02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13E9" w14:textId="77777777" w:rsidR="00505545" w:rsidRDefault="0050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1A077" w14:textId="77777777" w:rsidR="00505545" w:rsidRDefault="0050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Decentrale concessieverleners informeren over proces hetgeen nodig is om tot vaststelling te komen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5F8BA" w14:textId="34F75200" w:rsidR="00505545" w:rsidRDefault="0050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</w:t>
            </w:r>
            <w:r w:rsidR="00E2666F">
              <w:rPr>
                <w:sz w:val="18"/>
                <w:szCs w:val="18"/>
              </w:rPr>
              <w:t>, Ariens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EF62" w14:textId="1A76587E" w:rsidR="00505545" w:rsidRDefault="00A63A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25/8/22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34716" w14:textId="6AA1ECFE" w:rsidR="00505545" w:rsidRDefault="0050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Informatie die in deze werkgroep gedeeld wordt, bereikt niet alle </w:t>
            </w:r>
            <w:proofErr w:type="spellStart"/>
            <w:r>
              <w:rPr>
                <w:sz w:val="18"/>
                <w:szCs w:val="18"/>
              </w:rPr>
              <w:t>DO’s</w:t>
            </w:r>
            <w:proofErr w:type="spellEnd"/>
            <w:r>
              <w:rPr>
                <w:sz w:val="18"/>
                <w:szCs w:val="18"/>
              </w:rPr>
              <w:t>.</w:t>
            </w:r>
            <w:r w:rsidR="00B03176">
              <w:rPr>
                <w:sz w:val="18"/>
                <w:szCs w:val="18"/>
              </w:rPr>
              <w:t xml:space="preserve"> 11/8/22. Nadenken over infobijeenkomst </w:t>
            </w:r>
            <w:proofErr w:type="spellStart"/>
            <w:r w:rsidR="00B03176">
              <w:rPr>
                <w:sz w:val="18"/>
                <w:szCs w:val="18"/>
              </w:rPr>
              <w:t>bijv</w:t>
            </w:r>
            <w:proofErr w:type="spellEnd"/>
            <w:r w:rsidR="00B03176">
              <w:rPr>
                <w:sz w:val="18"/>
                <w:szCs w:val="18"/>
              </w:rPr>
              <w:t xml:space="preserve"> over</w:t>
            </w:r>
            <w:r w:rsidR="0040210B">
              <w:rPr>
                <w:sz w:val="18"/>
                <w:szCs w:val="18"/>
              </w:rPr>
              <w:t xml:space="preserve"> processchets</w:t>
            </w:r>
            <w:r w:rsidR="00A63A02">
              <w:rPr>
                <w:sz w:val="18"/>
                <w:szCs w:val="18"/>
              </w:rPr>
              <w:t xml:space="preserve"> (zie actie1)</w:t>
            </w:r>
            <w:r w:rsidR="0040210B">
              <w:rPr>
                <w:sz w:val="18"/>
                <w:szCs w:val="18"/>
              </w:rPr>
              <w:t>.</w:t>
            </w:r>
          </w:p>
        </w:tc>
      </w:tr>
      <w:tr w:rsidR="006B6A77" w14:paraId="2CF00B77" w14:textId="77777777" w:rsidTr="00505545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2ABC1" w14:textId="77777777" w:rsidR="00505545" w:rsidRDefault="0050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40805" w14:textId="77777777" w:rsidR="00505545" w:rsidRDefault="0050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Invulwijzer </w:t>
            </w:r>
            <w:proofErr w:type="spellStart"/>
            <w:r>
              <w:rPr>
                <w:sz w:val="18"/>
                <w:szCs w:val="18"/>
              </w:rPr>
              <w:t>SiSa</w:t>
            </w:r>
            <w:proofErr w:type="spellEnd"/>
            <w:r>
              <w:rPr>
                <w:sz w:val="18"/>
                <w:szCs w:val="18"/>
              </w:rPr>
              <w:t xml:space="preserve"> 2023 en 2024 aanpassen. Op punt vertrouwelijk omgaan met gegevens  verantwoording.</w:t>
            </w:r>
          </w:p>
          <w:p w14:paraId="45C479CA" w14:textId="77777777" w:rsidR="00505545" w:rsidRDefault="0050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Invulwijzer heeft meer gezag (naar accountants) dan berichten over omgaan met verantwoording bvov door IenW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10949" w14:textId="77777777" w:rsidR="00505545" w:rsidRDefault="0050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JW en Rob doen navraag bij collega’s IenW die betrokken zijn bij opstellen van </w:t>
            </w:r>
            <w:proofErr w:type="spellStart"/>
            <w:r>
              <w:rPr>
                <w:sz w:val="18"/>
                <w:szCs w:val="18"/>
              </w:rPr>
              <w:t>SiSa</w:t>
            </w:r>
            <w:proofErr w:type="spellEnd"/>
            <w:r>
              <w:rPr>
                <w:sz w:val="18"/>
                <w:szCs w:val="18"/>
              </w:rPr>
              <w:t>-invulwijzer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DF342" w14:textId="262CD125" w:rsidR="00505545" w:rsidRPr="00505545" w:rsidRDefault="00505545">
            <w:pPr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Zsm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1E98" w14:textId="77777777" w:rsidR="00505545" w:rsidRDefault="00505545" w:rsidP="00505545">
            <w:pPr>
              <w:pStyle w:val="Lijstalinea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Aangeven dat DO een aantal gegevens uit het format waarin de bvov verantwoord moet worden, vanwege hun vertrouwelijke karakter niet moet publiceren.</w:t>
            </w:r>
          </w:p>
          <w:p w14:paraId="36F46B2F" w14:textId="77777777" w:rsidR="00505545" w:rsidRDefault="00505545" w:rsidP="00505545">
            <w:pPr>
              <w:pStyle w:val="Lijstalinea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Specifieke bedragen voor verantwoording aan EC zijn dan niet meer nodig.</w:t>
            </w:r>
          </w:p>
          <w:p w14:paraId="5467CB53" w14:textId="3B6270D7" w:rsidR="00505545" w:rsidRPr="001B1A99" w:rsidRDefault="00505545" w:rsidP="001B1A99">
            <w:pPr>
              <w:pStyle w:val="Lijstalinea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Testen invulsheet.</w:t>
            </w:r>
          </w:p>
        </w:tc>
      </w:tr>
      <w:tr w:rsidR="006B6A77" w14:paraId="08350E27" w14:textId="77777777" w:rsidTr="00505545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4A5AE" w14:textId="77777777" w:rsidR="00505545" w:rsidRDefault="0050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4C8B2" w14:textId="77777777" w:rsidR="00505545" w:rsidRDefault="0050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Q+A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42F40" w14:textId="77777777" w:rsidR="00505545" w:rsidRDefault="0050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Jan Willem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59B3E" w14:textId="77777777" w:rsidR="00505545" w:rsidRDefault="005055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Zsm</w:t>
            </w:r>
            <w:proofErr w:type="spellEnd"/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17011" w14:textId="77777777" w:rsidR="00505545" w:rsidRDefault="0050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Verslagen van deze werkgroepen voorzien in deze functie totdat gestelde vragen en antwoorden gepubliceerd worden.</w:t>
            </w:r>
          </w:p>
        </w:tc>
      </w:tr>
      <w:tr w:rsidR="006B6A77" w14:paraId="3F7C5E29" w14:textId="77777777" w:rsidTr="00505545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C96B4" w14:textId="77777777" w:rsidR="00505545" w:rsidRDefault="0050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E5B7F" w14:textId="641B9EE5" w:rsidR="00505545" w:rsidRDefault="0050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Beoordelen </w:t>
            </w:r>
            <w:r w:rsidR="004B0F44">
              <w:rPr>
                <w:sz w:val="18"/>
                <w:szCs w:val="18"/>
              </w:rPr>
              <w:t xml:space="preserve">hoe om te gaan met </w:t>
            </w:r>
            <w:r>
              <w:rPr>
                <w:sz w:val="18"/>
                <w:szCs w:val="18"/>
              </w:rPr>
              <w:t>slordigheid van een vervoerder en hun accountant in de verantwoording bvov 2020 procedureel geen probleempje opwerpt.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8E463" w14:textId="77777777" w:rsidR="00505545" w:rsidRDefault="0050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JW en Rob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E8E39" w14:textId="60C46672" w:rsidR="00505545" w:rsidRDefault="0050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Zodra betreffende verantwoording</w:t>
            </w:r>
            <w:r w:rsidR="004B0F44">
              <w:rPr>
                <w:sz w:val="18"/>
                <w:szCs w:val="18"/>
              </w:rPr>
              <w:t>/vaststelling</w:t>
            </w:r>
            <w:r>
              <w:rPr>
                <w:sz w:val="18"/>
                <w:szCs w:val="18"/>
              </w:rPr>
              <w:t xml:space="preserve"> aan de orde is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2D5AF" w14:textId="231398BD" w:rsidR="00505545" w:rsidRDefault="005055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MRDH en VRA hebben IenW geïnformeerd dat in verantwoording de specifieke Covid-19-kosten voor </w:t>
            </w:r>
            <w:r w:rsidR="004B0F44">
              <w:rPr>
                <w:sz w:val="18"/>
                <w:szCs w:val="18"/>
              </w:rPr>
              <w:t xml:space="preserve">ten onrechte </w:t>
            </w:r>
            <w:r>
              <w:rPr>
                <w:sz w:val="18"/>
                <w:szCs w:val="18"/>
              </w:rPr>
              <w:t xml:space="preserve">100% zijn meegenomen in de berekende </w:t>
            </w:r>
            <w:r w:rsidR="004B0F44">
              <w:rPr>
                <w:sz w:val="18"/>
                <w:szCs w:val="18"/>
              </w:rPr>
              <w:t>BVOV, waarbij wel een goedkeurende accountantsverklaring is verstrekt.</w:t>
            </w:r>
          </w:p>
        </w:tc>
      </w:tr>
      <w:tr w:rsidR="006B6A77" w14:paraId="62A78FD3" w14:textId="77777777" w:rsidTr="00505545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652A" w14:textId="51456A5E" w:rsidR="006B6A77" w:rsidRDefault="006B6A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B114" w14:textId="4ED8E3B8" w:rsidR="006B6A77" w:rsidRDefault="007C5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</w:t>
            </w:r>
            <w:r w:rsidR="006B6A77">
              <w:rPr>
                <w:sz w:val="18"/>
                <w:szCs w:val="18"/>
              </w:rPr>
              <w:t>andpuntbepaling</w:t>
            </w:r>
            <w:r>
              <w:rPr>
                <w:sz w:val="18"/>
                <w:szCs w:val="18"/>
              </w:rPr>
              <w:t xml:space="preserve"> D</w:t>
            </w:r>
            <w:r w:rsidR="003F12FE">
              <w:rPr>
                <w:sz w:val="18"/>
                <w:szCs w:val="18"/>
              </w:rPr>
              <w:t>OVA</w:t>
            </w:r>
            <w:r w:rsidR="006B6A7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m.b.t. </w:t>
            </w:r>
            <w:r w:rsidR="006B6A77">
              <w:rPr>
                <w:sz w:val="18"/>
                <w:szCs w:val="18"/>
              </w:rPr>
              <w:t xml:space="preserve">informatieverstrekking </w:t>
            </w:r>
            <w:r>
              <w:rPr>
                <w:sz w:val="18"/>
                <w:szCs w:val="18"/>
              </w:rPr>
              <w:t xml:space="preserve">CROW richting ACM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4EA5" w14:textId="5FEF322A" w:rsidR="006B6A77" w:rsidRDefault="007C5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Ariëns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C584" w14:textId="2FA1786C" w:rsidR="006B6A77" w:rsidRDefault="007C5D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zsm</w:t>
            </w:r>
            <w:proofErr w:type="spellEnd"/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2DEC" w14:textId="773C062F" w:rsidR="006B6A77" w:rsidRDefault="00FF43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Kan mogelijk leiden tot ongewenst delen </w:t>
            </w:r>
            <w:proofErr w:type="spellStart"/>
            <w:r>
              <w:rPr>
                <w:sz w:val="18"/>
                <w:szCs w:val="18"/>
              </w:rPr>
              <w:t>bedrijfsvetrouwelijke</w:t>
            </w:r>
            <w:proofErr w:type="spellEnd"/>
            <w:r>
              <w:rPr>
                <w:sz w:val="18"/>
                <w:szCs w:val="18"/>
              </w:rPr>
              <w:t xml:space="preserve"> info; </w:t>
            </w:r>
            <w:proofErr w:type="spellStart"/>
            <w:r>
              <w:rPr>
                <w:sz w:val="18"/>
                <w:szCs w:val="18"/>
              </w:rPr>
              <w:t>specifeke</w:t>
            </w:r>
            <w:proofErr w:type="spellEnd"/>
            <w:r>
              <w:rPr>
                <w:sz w:val="18"/>
                <w:szCs w:val="18"/>
              </w:rPr>
              <w:t xml:space="preserve"> kosten/marges per concessie. Discussie zie verslag 11/8/22</w:t>
            </w:r>
          </w:p>
        </w:tc>
      </w:tr>
    </w:tbl>
    <w:p w14:paraId="21351E97" w14:textId="77777777" w:rsidR="00505545" w:rsidRDefault="00505545" w:rsidP="00505545">
      <w:pPr>
        <w:rPr>
          <w:rFonts w:asciiTheme="minorHAnsi" w:hAnsiTheme="minorHAnsi" w:cstheme="minorBidi"/>
          <w:szCs w:val="24"/>
        </w:rPr>
      </w:pPr>
    </w:p>
    <w:p w14:paraId="7DE85DAF" w14:textId="77777777" w:rsidR="00345D31" w:rsidRDefault="00345D31"/>
    <w:sectPr w:rsidR="00345D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4869A" w14:textId="77777777" w:rsidR="007D082E" w:rsidRDefault="007D082E" w:rsidP="00345D31">
      <w:r>
        <w:separator/>
      </w:r>
    </w:p>
  </w:endnote>
  <w:endnote w:type="continuationSeparator" w:id="0">
    <w:p w14:paraId="5DCC9E11" w14:textId="77777777" w:rsidR="007D082E" w:rsidRDefault="007D082E" w:rsidP="0034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12C49" w14:textId="77777777" w:rsidR="007D082E" w:rsidRDefault="007D082E" w:rsidP="00345D31">
      <w:r>
        <w:separator/>
      </w:r>
    </w:p>
  </w:footnote>
  <w:footnote w:type="continuationSeparator" w:id="0">
    <w:p w14:paraId="412AD396" w14:textId="77777777" w:rsidR="007D082E" w:rsidRDefault="007D082E" w:rsidP="00345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314CE5"/>
    <w:multiLevelType w:val="hybridMultilevel"/>
    <w:tmpl w:val="4032324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EB935B8"/>
    <w:multiLevelType w:val="singleLevel"/>
    <w:tmpl w:val="0413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722D082F"/>
    <w:multiLevelType w:val="hybridMultilevel"/>
    <w:tmpl w:val="5B9E53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63127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151654">
    <w:abstractNumId w:val="0"/>
  </w:num>
  <w:num w:numId="3" w16cid:durableId="1169444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D31"/>
    <w:rsid w:val="00004E5F"/>
    <w:rsid w:val="00032D09"/>
    <w:rsid w:val="00044E1E"/>
    <w:rsid w:val="00071C9B"/>
    <w:rsid w:val="000A6FBC"/>
    <w:rsid w:val="000B0E21"/>
    <w:rsid w:val="000C5A80"/>
    <w:rsid w:val="000D2D6D"/>
    <w:rsid w:val="000F7EA3"/>
    <w:rsid w:val="00140932"/>
    <w:rsid w:val="00163364"/>
    <w:rsid w:val="001B1A99"/>
    <w:rsid w:val="001B52F6"/>
    <w:rsid w:val="001C2884"/>
    <w:rsid w:val="001E65BF"/>
    <w:rsid w:val="0021058E"/>
    <w:rsid w:val="00242A95"/>
    <w:rsid w:val="002A0C0F"/>
    <w:rsid w:val="002A2F10"/>
    <w:rsid w:val="002A5306"/>
    <w:rsid w:val="00304962"/>
    <w:rsid w:val="00310C37"/>
    <w:rsid w:val="00322F95"/>
    <w:rsid w:val="00345D31"/>
    <w:rsid w:val="00354A7E"/>
    <w:rsid w:val="003743E4"/>
    <w:rsid w:val="003A3189"/>
    <w:rsid w:val="003A4655"/>
    <w:rsid w:val="003D3D8F"/>
    <w:rsid w:val="003E477E"/>
    <w:rsid w:val="003F12FE"/>
    <w:rsid w:val="003F3BBD"/>
    <w:rsid w:val="0040210B"/>
    <w:rsid w:val="00407243"/>
    <w:rsid w:val="004525F8"/>
    <w:rsid w:val="0046392B"/>
    <w:rsid w:val="00493EF4"/>
    <w:rsid w:val="004B0F44"/>
    <w:rsid w:val="004C4516"/>
    <w:rsid w:val="00505545"/>
    <w:rsid w:val="0051622A"/>
    <w:rsid w:val="00550821"/>
    <w:rsid w:val="005622E6"/>
    <w:rsid w:val="005B2690"/>
    <w:rsid w:val="005B3574"/>
    <w:rsid w:val="005D39C5"/>
    <w:rsid w:val="005D7DFB"/>
    <w:rsid w:val="005E7FC0"/>
    <w:rsid w:val="005F27B8"/>
    <w:rsid w:val="00645761"/>
    <w:rsid w:val="006627DF"/>
    <w:rsid w:val="0067422F"/>
    <w:rsid w:val="00685C14"/>
    <w:rsid w:val="006B6A77"/>
    <w:rsid w:val="006D2E3A"/>
    <w:rsid w:val="006E69BD"/>
    <w:rsid w:val="006E7F54"/>
    <w:rsid w:val="007013EE"/>
    <w:rsid w:val="00702CA2"/>
    <w:rsid w:val="00703A71"/>
    <w:rsid w:val="0071738A"/>
    <w:rsid w:val="00733972"/>
    <w:rsid w:val="0073481A"/>
    <w:rsid w:val="00771A4A"/>
    <w:rsid w:val="00775776"/>
    <w:rsid w:val="00784169"/>
    <w:rsid w:val="007C5DEC"/>
    <w:rsid w:val="007D082E"/>
    <w:rsid w:val="007E329D"/>
    <w:rsid w:val="007F2002"/>
    <w:rsid w:val="00821332"/>
    <w:rsid w:val="00891DE5"/>
    <w:rsid w:val="008A7A6A"/>
    <w:rsid w:val="008B54AC"/>
    <w:rsid w:val="008C06B8"/>
    <w:rsid w:val="008C085C"/>
    <w:rsid w:val="008F0E30"/>
    <w:rsid w:val="0098232E"/>
    <w:rsid w:val="009B4428"/>
    <w:rsid w:val="009F6B20"/>
    <w:rsid w:val="00A31429"/>
    <w:rsid w:val="00A331E9"/>
    <w:rsid w:val="00A46117"/>
    <w:rsid w:val="00A63A02"/>
    <w:rsid w:val="00A86FAE"/>
    <w:rsid w:val="00AA7461"/>
    <w:rsid w:val="00B00D4A"/>
    <w:rsid w:val="00B03176"/>
    <w:rsid w:val="00B34E70"/>
    <w:rsid w:val="00B357E2"/>
    <w:rsid w:val="00B60FBA"/>
    <w:rsid w:val="00B66561"/>
    <w:rsid w:val="00B85694"/>
    <w:rsid w:val="00B96DE8"/>
    <w:rsid w:val="00BC687B"/>
    <w:rsid w:val="00BE2BEC"/>
    <w:rsid w:val="00C13957"/>
    <w:rsid w:val="00C923F7"/>
    <w:rsid w:val="00CB5976"/>
    <w:rsid w:val="00CC42FE"/>
    <w:rsid w:val="00CD0383"/>
    <w:rsid w:val="00CD2111"/>
    <w:rsid w:val="00D73978"/>
    <w:rsid w:val="00DD054E"/>
    <w:rsid w:val="00DD5C9C"/>
    <w:rsid w:val="00E0435C"/>
    <w:rsid w:val="00E17040"/>
    <w:rsid w:val="00E2666F"/>
    <w:rsid w:val="00EA13D5"/>
    <w:rsid w:val="00EC462F"/>
    <w:rsid w:val="00F235C6"/>
    <w:rsid w:val="00F279EA"/>
    <w:rsid w:val="00F40264"/>
    <w:rsid w:val="00F43A35"/>
    <w:rsid w:val="00F5608C"/>
    <w:rsid w:val="00F93185"/>
    <w:rsid w:val="00F955A8"/>
    <w:rsid w:val="00FD0C0C"/>
    <w:rsid w:val="00FD297C"/>
    <w:rsid w:val="00FF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82E2D"/>
  <w15:chartTrackingRefBased/>
  <w15:docId w15:val="{A2C3438B-2A2A-4652-B6CB-D77C116F5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45D31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345D31"/>
    <w:rPr>
      <w:color w:val="808080"/>
    </w:rPr>
  </w:style>
  <w:style w:type="paragraph" w:styleId="Lijstalinea">
    <w:name w:val="List Paragraph"/>
    <w:basedOn w:val="Standaard"/>
    <w:uiPriority w:val="34"/>
    <w:qFormat/>
    <w:rsid w:val="00505545"/>
    <w:pPr>
      <w:ind w:left="720"/>
      <w:contextualSpacing/>
    </w:pPr>
    <w:rPr>
      <w:rFonts w:asciiTheme="minorHAnsi" w:hAnsiTheme="minorHAnsi" w:cstheme="minorBidi"/>
      <w:szCs w:val="24"/>
    </w:rPr>
  </w:style>
  <w:style w:type="table" w:styleId="Tabelraster">
    <w:name w:val="Table Grid"/>
    <w:basedOn w:val="Standaardtabel"/>
    <w:uiPriority w:val="39"/>
    <w:rsid w:val="00505545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e">
    <w:name w:val="Revision"/>
    <w:hidden/>
    <w:uiPriority w:val="99"/>
    <w:semiHidden/>
    <w:rsid w:val="00733972"/>
    <w:pPr>
      <w:spacing w:after="0" w:line="240" w:lineRule="auto"/>
    </w:pPr>
    <w:rPr>
      <w:rFonts w:ascii="Calibri" w:hAnsi="Calibri" w:cs="Calibri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F12F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F12FE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F12FE"/>
    <w:rPr>
      <w:rFonts w:ascii="Calibri" w:hAnsi="Calibri" w:cs="Calibri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F12F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F12FE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0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c0f480-7970-46f8-8250-54552af28c02">
      <Terms xmlns="http://schemas.microsoft.com/office/infopath/2007/PartnerControls"/>
    </lcf76f155ced4ddcb4097134ff3c332f>
    <TaxCatchAll xmlns="f0c8ad39-e49c-465b-a14d-afada793872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95A991788BCD43A14D11E1A5D8ED3D" ma:contentTypeVersion="11" ma:contentTypeDescription="Een nieuw document maken." ma:contentTypeScope="" ma:versionID="72e6839dc24a19a3623943675c7e1078">
  <xsd:schema xmlns:xsd="http://www.w3.org/2001/XMLSchema" xmlns:xs="http://www.w3.org/2001/XMLSchema" xmlns:p="http://schemas.microsoft.com/office/2006/metadata/properties" xmlns:ns2="80c0f480-7970-46f8-8250-54552af28c02" xmlns:ns3="f0c8ad39-e49c-465b-a14d-afada7938724" targetNamespace="http://schemas.microsoft.com/office/2006/metadata/properties" ma:root="true" ma:fieldsID="8e5aaa4531429d6fc1c6f7ec015cc6cb" ns2:_="" ns3:_="">
    <xsd:import namespace="80c0f480-7970-46f8-8250-54552af28c02"/>
    <xsd:import namespace="f0c8ad39-e49c-465b-a14d-afada79387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c0f480-7970-46f8-8250-54552af28c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85523468-64ab-4a5d-9397-26e20b2c7a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8ad39-e49c-465b-a14d-afada79387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5dfcba-20e5-4252-b99f-efb2d85b4713}" ma:internalName="TaxCatchAll" ma:showField="CatchAllData" ma:web="f0c8ad39-e49c-465b-a14d-afada79387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3CF613-EACC-4294-A178-42EA073A80F9}">
  <ds:schemaRefs>
    <ds:schemaRef ds:uri="http://schemas.microsoft.com/office/2006/metadata/properties"/>
    <ds:schemaRef ds:uri="http://schemas.microsoft.com/office/infopath/2007/PartnerControls"/>
    <ds:schemaRef ds:uri="80c0f480-7970-46f8-8250-54552af28c02"/>
    <ds:schemaRef ds:uri="f0c8ad39-e49c-465b-a14d-afada7938724"/>
  </ds:schemaRefs>
</ds:datastoreItem>
</file>

<file path=customXml/itemProps2.xml><?xml version="1.0" encoding="utf-8"?>
<ds:datastoreItem xmlns:ds="http://schemas.openxmlformats.org/officeDocument/2006/customXml" ds:itemID="{BE59C457-94D3-47F8-AAB5-8AA9143FE590}"/>
</file>

<file path=customXml/itemProps3.xml><?xml version="1.0" encoding="utf-8"?>
<ds:datastoreItem xmlns:ds="http://schemas.openxmlformats.org/officeDocument/2006/customXml" ds:itemID="{0210FD84-925D-428C-9AAE-4CEA37863B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4260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 Osborne B.V.</Company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Willem Kuil</dc:creator>
  <cp:keywords/>
  <dc:description/>
  <cp:lastModifiedBy>Jan Willem Kuil</cp:lastModifiedBy>
  <cp:revision>6</cp:revision>
  <dcterms:created xsi:type="dcterms:W3CDTF">2022-08-17T13:33:00Z</dcterms:created>
  <dcterms:modified xsi:type="dcterms:W3CDTF">2022-08-23T07:48:00Z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0x0101005F95A991788BCD43A14D11E1A5D8ED3D</vt:lpwstr>
  </property>
  <property fmtid="{D5CDD505-2E9C-101B-9397-08002B2CF9AE}" pid="3" name="MediaServiceImageTags">
    <vt:lpwstr/>
  </property>
</Properties>
</file>