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77F0E" w14:textId="45EB5A3D" w:rsidR="00C60E80" w:rsidRDefault="00C60E80">
      <w:pPr>
        <w:rPr>
          <w:b/>
          <w:bCs/>
        </w:rPr>
      </w:pPr>
      <w:r>
        <w:rPr>
          <w:b/>
          <w:bCs/>
        </w:rPr>
        <w:t>QenA’s m.b.t. de BVOV en TVOV</w:t>
      </w:r>
    </w:p>
    <w:p w14:paraId="152BFE57" w14:textId="514C76ED" w:rsidR="00FE2264" w:rsidRDefault="00D42AD4">
      <w:pPr>
        <w:rPr>
          <w:b/>
          <w:bCs/>
        </w:rPr>
      </w:pPr>
      <w:r>
        <w:rPr>
          <w:b/>
          <w:bCs/>
        </w:rPr>
        <w:t xml:space="preserve">Versie: </w:t>
      </w:r>
      <w:r w:rsidR="00F71589">
        <w:rPr>
          <w:b/>
          <w:bCs/>
        </w:rPr>
        <w:t>21</w:t>
      </w:r>
      <w:r>
        <w:rPr>
          <w:b/>
          <w:bCs/>
        </w:rPr>
        <w:t>-</w:t>
      </w:r>
      <w:r w:rsidR="00FE2264">
        <w:rPr>
          <w:b/>
          <w:bCs/>
        </w:rPr>
        <w:t>9-</w:t>
      </w:r>
      <w:r w:rsidR="001D5BC4">
        <w:rPr>
          <w:b/>
          <w:bCs/>
        </w:rPr>
        <w:t>2023</w:t>
      </w:r>
      <w:r w:rsidR="008B11B7">
        <w:rPr>
          <w:b/>
          <w:bCs/>
        </w:rPr>
        <w:t xml:space="preserve"> </w:t>
      </w:r>
    </w:p>
    <w:p w14:paraId="483C7276" w14:textId="23559168" w:rsidR="00FE2264" w:rsidRDefault="00313BB7">
      <w:pPr>
        <w:rPr>
          <w:b/>
          <w:bCs/>
        </w:rPr>
      </w:pPr>
      <w:r>
        <w:rPr>
          <w:b/>
          <w:bCs/>
        </w:rPr>
        <w:t>Inleiding</w:t>
      </w:r>
    </w:p>
    <w:p w14:paraId="701A78AC" w14:textId="72F9759D" w:rsidR="00FE2264" w:rsidRPr="001979B5" w:rsidRDefault="00FE2264">
      <w:r w:rsidRPr="00313BB7">
        <w:t xml:space="preserve">Dit document bevat </w:t>
      </w:r>
      <w:r w:rsidR="000F79BF">
        <w:t xml:space="preserve">in willekeurige volgorde </w:t>
      </w:r>
      <w:r w:rsidRPr="00313BB7">
        <w:t>vragen</w:t>
      </w:r>
      <w:r w:rsidR="00BB2490">
        <w:t xml:space="preserve"> </w:t>
      </w:r>
      <w:r w:rsidR="00377976">
        <w:t xml:space="preserve">van vervoerders en decentrale overheden over </w:t>
      </w:r>
      <w:r w:rsidR="00BB2490">
        <w:t xml:space="preserve">de regelingen </w:t>
      </w:r>
      <w:r w:rsidR="009C75B0">
        <w:t>SPUK</w:t>
      </w:r>
      <w:r w:rsidR="00BB2490">
        <w:t xml:space="preserve"> van de BVOV en TVOV</w:t>
      </w:r>
      <w:r w:rsidRPr="00313BB7">
        <w:t xml:space="preserve"> en </w:t>
      </w:r>
      <w:r w:rsidR="00377976">
        <w:t xml:space="preserve">door IenW gegeven </w:t>
      </w:r>
      <w:r w:rsidRPr="00313BB7">
        <w:t>antwoorden</w:t>
      </w:r>
      <w:r w:rsidR="00377976">
        <w:t>, zoals</w:t>
      </w:r>
      <w:r w:rsidRPr="00313BB7">
        <w:t xml:space="preserve"> </w:t>
      </w:r>
      <w:r w:rsidR="003A439C" w:rsidRPr="00313BB7">
        <w:t xml:space="preserve">besproken </w:t>
      </w:r>
      <w:r w:rsidR="00BB2490">
        <w:t xml:space="preserve">in </w:t>
      </w:r>
      <w:r w:rsidR="003A439C" w:rsidRPr="00313BB7">
        <w:t>de werkgroep Verantwoording (en Uitvoering)</w:t>
      </w:r>
      <w:r w:rsidR="00313BB7" w:rsidRPr="00313BB7">
        <w:t>. Deze lijst wordt regelmatig ge</w:t>
      </w:r>
      <w:r w:rsidR="00540F96">
        <w:t>ü</w:t>
      </w:r>
      <w:r w:rsidR="00313BB7" w:rsidRPr="00313BB7">
        <w:t>pdate</w:t>
      </w:r>
      <w:r w:rsidR="00540F96">
        <w:t>d</w:t>
      </w:r>
      <w:r w:rsidR="00313BB7" w:rsidRPr="00313BB7">
        <w:t>. Vragen n.a.v. de lijst kunnen worden gesteld aan Rob Rijnhout</w:t>
      </w:r>
      <w:r w:rsidR="000F79BF">
        <w:t xml:space="preserve"> (</w:t>
      </w:r>
      <w:hyperlink r:id="rId11" w:history="1">
        <w:r w:rsidR="00540F96" w:rsidRPr="008B7448">
          <w:rPr>
            <w:rStyle w:val="Hyperlink"/>
          </w:rPr>
          <w:t>Rijnhout@hypercube.nl</w:t>
        </w:r>
      </w:hyperlink>
      <w:r w:rsidR="00540F96">
        <w:t xml:space="preserve"> en rob.rijnhout@</w:t>
      </w:r>
      <w:r w:rsidR="00A62622">
        <w:t>minienw.nl</w:t>
      </w:r>
      <w:r w:rsidR="000F79BF">
        <w:t>)</w:t>
      </w:r>
      <w:r w:rsidR="00313BB7" w:rsidRPr="00313BB7">
        <w:t xml:space="preserve"> en Jan Willem Kuil </w:t>
      </w:r>
      <w:r w:rsidR="000F79BF">
        <w:t>(</w:t>
      </w:r>
      <w:hyperlink r:id="rId12" w:history="1">
        <w:r w:rsidR="00A62622" w:rsidRPr="008B7448">
          <w:rPr>
            <w:rStyle w:val="Hyperlink"/>
          </w:rPr>
          <w:t>janwillem.kuil@atosborne.nl</w:t>
        </w:r>
      </w:hyperlink>
      <w:r w:rsidR="00A62622">
        <w:t xml:space="preserve"> en janwillem.kuil@minienw.nl</w:t>
      </w:r>
      <w:r w:rsidR="000F79BF">
        <w:t>).</w:t>
      </w:r>
    </w:p>
    <w:p w14:paraId="7A6E5BC5" w14:textId="76BCEDB2" w:rsidR="00B52CC6" w:rsidRDefault="00B52CC6">
      <w:r w:rsidRPr="00B52CC6">
        <w:rPr>
          <w:b/>
          <w:bCs/>
        </w:rPr>
        <w:t>Vraag</w:t>
      </w:r>
      <w:r w:rsidR="00CE460E">
        <w:rPr>
          <w:b/>
          <w:bCs/>
        </w:rPr>
        <w:t xml:space="preserve"> </w:t>
      </w:r>
      <w:r w:rsidR="007866F1">
        <w:rPr>
          <w:b/>
          <w:bCs/>
        </w:rPr>
        <w:t>1</w:t>
      </w:r>
      <w:r w:rsidR="004D04DB">
        <w:rPr>
          <w:b/>
          <w:bCs/>
        </w:rPr>
        <w:t>.</w:t>
      </w:r>
      <w:r w:rsidR="006C2424">
        <w:rPr>
          <w:b/>
          <w:bCs/>
        </w:rPr>
        <w:t xml:space="preserve"> Floriade besloten vervoer </w:t>
      </w:r>
      <w:r w:rsidR="007E776C">
        <w:rPr>
          <w:b/>
          <w:bCs/>
        </w:rPr>
        <w:t>BVOV</w:t>
      </w:r>
      <w:r w:rsidR="006C2424">
        <w:rPr>
          <w:b/>
          <w:bCs/>
        </w:rPr>
        <w:t xml:space="preserve"> en </w:t>
      </w:r>
      <w:r w:rsidR="007E776C">
        <w:rPr>
          <w:b/>
          <w:bCs/>
        </w:rPr>
        <w:t>TVOV</w:t>
      </w:r>
    </w:p>
    <w:p w14:paraId="2150951C" w14:textId="2C660957" w:rsidR="00E95A70" w:rsidRPr="00CE460E" w:rsidRDefault="00E95A70" w:rsidP="00E95A70">
      <w:pPr>
        <w:rPr>
          <w:u w:val="single"/>
        </w:rPr>
      </w:pPr>
      <w:r>
        <w:rPr>
          <w:u w:val="single"/>
        </w:rPr>
        <w:t>Worden</w:t>
      </w:r>
      <w:r w:rsidRPr="00CE460E">
        <w:rPr>
          <w:u w:val="single"/>
        </w:rPr>
        <w:t xml:space="preserve"> inkomsten van gemeenten en reiziger</w:t>
      </w:r>
      <w:r w:rsidR="00A62622">
        <w:rPr>
          <w:u w:val="single"/>
        </w:rPr>
        <w:t>s</w:t>
      </w:r>
      <w:r w:rsidRPr="00CE460E">
        <w:rPr>
          <w:u w:val="single"/>
        </w:rPr>
        <w:t xml:space="preserve"> </w:t>
      </w:r>
      <w:r w:rsidR="00275BD7">
        <w:rPr>
          <w:u w:val="single"/>
        </w:rPr>
        <w:t xml:space="preserve">van besloten vervoer </w:t>
      </w:r>
      <w:r>
        <w:rPr>
          <w:u w:val="single"/>
        </w:rPr>
        <w:t xml:space="preserve">buiten beschouwing gelaten bij het bepalen van de  opbrengsten in het kader van de </w:t>
      </w:r>
      <w:r w:rsidR="007E776C">
        <w:rPr>
          <w:u w:val="single"/>
        </w:rPr>
        <w:t>BVOV</w:t>
      </w:r>
      <w:r>
        <w:rPr>
          <w:u w:val="single"/>
        </w:rPr>
        <w:t xml:space="preserve"> 2</w:t>
      </w:r>
      <w:r w:rsidRPr="00CE460E">
        <w:rPr>
          <w:u w:val="single"/>
        </w:rPr>
        <w:t>022</w:t>
      </w:r>
      <w:r>
        <w:rPr>
          <w:u w:val="single"/>
        </w:rPr>
        <w:t>?</w:t>
      </w:r>
      <w:r w:rsidRPr="00CE460E">
        <w:rPr>
          <w:u w:val="single"/>
        </w:rPr>
        <w:t xml:space="preserve"> </w:t>
      </w:r>
    </w:p>
    <w:p w14:paraId="52E83DFF" w14:textId="4866C94B" w:rsidR="00B52CC6" w:rsidRPr="00B52CC6" w:rsidRDefault="00B52CC6">
      <w:pPr>
        <w:rPr>
          <w:b/>
          <w:bCs/>
        </w:rPr>
      </w:pPr>
      <w:r w:rsidRPr="00B52CC6">
        <w:rPr>
          <w:b/>
          <w:bCs/>
        </w:rPr>
        <w:t>Antwoord</w:t>
      </w:r>
      <w:r w:rsidR="00CE460E">
        <w:rPr>
          <w:b/>
          <w:bCs/>
        </w:rPr>
        <w:t xml:space="preserve"> </w:t>
      </w:r>
    </w:p>
    <w:p w14:paraId="24EA1719" w14:textId="01479DBB" w:rsidR="002B3917" w:rsidRDefault="002B3917" w:rsidP="002B3917">
      <w:r>
        <w:t xml:space="preserve">Bij de </w:t>
      </w:r>
      <w:r w:rsidRPr="006C3981">
        <w:t xml:space="preserve">Floriade </w:t>
      </w:r>
      <w:r w:rsidR="00CE30A9">
        <w:t>(</w:t>
      </w:r>
      <w:r w:rsidRPr="006C3981">
        <w:t>april-november 2022</w:t>
      </w:r>
      <w:r w:rsidR="00CE30A9">
        <w:t>)</w:t>
      </w:r>
      <w:r>
        <w:t xml:space="preserve"> gold dat volgens het</w:t>
      </w:r>
      <w:r w:rsidRPr="006C3981">
        <w:t xml:space="preserve"> concessiecontract met gemeente Almere Keolis preferred supplier </w:t>
      </w:r>
      <w:r>
        <w:t>was</w:t>
      </w:r>
      <w:r w:rsidRPr="006C3981">
        <w:t xml:space="preserve"> voor dit besloten vervoer. </w:t>
      </w:r>
    </w:p>
    <w:p w14:paraId="4384E469" w14:textId="2526E0A1" w:rsidR="002B3917" w:rsidRDefault="002B3917" w:rsidP="002B3917">
      <w:pPr>
        <w:pStyle w:val="Lijstalinea"/>
        <w:numPr>
          <w:ilvl w:val="0"/>
          <w:numId w:val="1"/>
        </w:numPr>
      </w:pPr>
      <w:r>
        <w:t xml:space="preserve">Het </w:t>
      </w:r>
      <w:r w:rsidR="00B37A88">
        <w:t>b</w:t>
      </w:r>
      <w:r>
        <w:t>etr</w:t>
      </w:r>
      <w:r w:rsidR="00542480">
        <w:t>of</w:t>
      </w:r>
      <w:r>
        <w:t xml:space="preserve"> </w:t>
      </w:r>
      <w:r w:rsidR="00B37A88">
        <w:t>p</w:t>
      </w:r>
      <w:r w:rsidRPr="006C3981">
        <w:t>endelvervoer</w:t>
      </w:r>
      <w:r>
        <w:t xml:space="preserve"> zonder </w:t>
      </w:r>
      <w:r w:rsidRPr="006C3981">
        <w:t xml:space="preserve">interferentie met regulier OV. </w:t>
      </w:r>
    </w:p>
    <w:p w14:paraId="5C3B712D" w14:textId="67C3DD2B" w:rsidR="002B3917" w:rsidRDefault="00B37A88" w:rsidP="002B3917">
      <w:pPr>
        <w:pStyle w:val="Lijstalinea"/>
        <w:numPr>
          <w:ilvl w:val="0"/>
          <w:numId w:val="1"/>
        </w:numPr>
      </w:pPr>
      <w:r>
        <w:t xml:space="preserve">De </w:t>
      </w:r>
      <w:r w:rsidR="002B3917" w:rsidRPr="006C3981">
        <w:t xml:space="preserve">plaatsbewijzen </w:t>
      </w:r>
      <w:r>
        <w:t>zijn</w:t>
      </w:r>
      <w:r w:rsidR="002B3917" w:rsidRPr="006C3981">
        <w:t xml:space="preserve"> normaliter </w:t>
      </w:r>
      <w:r>
        <w:t xml:space="preserve">niet het </w:t>
      </w:r>
      <w:r w:rsidR="002B3917" w:rsidRPr="006C3981">
        <w:t xml:space="preserve">in ov geldig. </w:t>
      </w:r>
    </w:p>
    <w:p w14:paraId="7725853C" w14:textId="7C30C39C" w:rsidR="002B3917" w:rsidRDefault="002B3917" w:rsidP="002B3917">
      <w:pPr>
        <w:pStyle w:val="Lijstalinea"/>
        <w:numPr>
          <w:ilvl w:val="0"/>
          <w:numId w:val="1"/>
        </w:numPr>
      </w:pPr>
      <w:r w:rsidRPr="006C3981">
        <w:t xml:space="preserve">Men heeft </w:t>
      </w:r>
      <w:r w:rsidR="00B37A88">
        <w:t>volledig</w:t>
      </w:r>
      <w:r w:rsidRPr="006C3981">
        <w:t xml:space="preserve"> gescheiden administraties voor kosten en opbrengsten.</w:t>
      </w:r>
    </w:p>
    <w:p w14:paraId="77D0A84B" w14:textId="44C9B7DF" w:rsidR="00B52CC6" w:rsidRDefault="00B52CC6">
      <w:r w:rsidRPr="00B52CC6">
        <w:t xml:space="preserve">De </w:t>
      </w:r>
      <w:r w:rsidR="007E776C">
        <w:t>BVOV</w:t>
      </w:r>
      <w:r w:rsidRPr="00B52CC6">
        <w:t xml:space="preserve"> is alleen bedoeld</w:t>
      </w:r>
      <w:r w:rsidR="0040634E">
        <w:t xml:space="preserve"> voor</w:t>
      </w:r>
      <w:r w:rsidR="00094E41">
        <w:t xml:space="preserve"> onder concessie gereden openbaar vervoer</w:t>
      </w:r>
      <w:r w:rsidRPr="00B52CC6">
        <w:t>.</w:t>
      </w:r>
      <w:r w:rsidR="00094E41">
        <w:t xml:space="preserve"> Bij besloten vervoer is daarvan geen sprake: de kosten van het vervoer maakten geen onderdeel uit van de referentiekosten. Ook de o</w:t>
      </w:r>
      <w:r w:rsidRPr="00B52CC6">
        <w:t xml:space="preserve">pbrengsten </w:t>
      </w:r>
      <w:r w:rsidR="00094E41">
        <w:t>er</w:t>
      </w:r>
      <w:r w:rsidRPr="00B52CC6">
        <w:t>van worden niet in aanmerking genomen.</w:t>
      </w:r>
      <w:r>
        <w:t xml:space="preserve"> </w:t>
      </w:r>
    </w:p>
    <w:p w14:paraId="04266F52" w14:textId="48F7B90E" w:rsidR="00B52CC6" w:rsidRPr="00B52CC6" w:rsidRDefault="00B52CC6">
      <w:pPr>
        <w:rPr>
          <w:b/>
          <w:bCs/>
        </w:rPr>
      </w:pPr>
      <w:r w:rsidRPr="00B52CC6">
        <w:rPr>
          <w:b/>
          <w:bCs/>
        </w:rPr>
        <w:t>Vraag</w:t>
      </w:r>
      <w:r w:rsidR="00CE460E">
        <w:rPr>
          <w:b/>
          <w:bCs/>
        </w:rPr>
        <w:t xml:space="preserve"> </w:t>
      </w:r>
      <w:r w:rsidR="007866F1">
        <w:rPr>
          <w:b/>
          <w:bCs/>
        </w:rPr>
        <w:t>2</w:t>
      </w:r>
      <w:r w:rsidR="004D04DB">
        <w:rPr>
          <w:b/>
          <w:bCs/>
        </w:rPr>
        <w:t>.</w:t>
      </w:r>
      <w:r w:rsidR="007866F1">
        <w:rPr>
          <w:b/>
          <w:bCs/>
        </w:rPr>
        <w:t xml:space="preserve"> </w:t>
      </w:r>
      <w:r w:rsidR="006C2424">
        <w:rPr>
          <w:b/>
          <w:bCs/>
        </w:rPr>
        <w:t>Verwerking</w:t>
      </w:r>
      <w:r w:rsidR="00F73309">
        <w:rPr>
          <w:b/>
          <w:bCs/>
        </w:rPr>
        <w:t xml:space="preserve"> van Hernieuwbare Brandstofeenheden</w:t>
      </w:r>
      <w:r w:rsidR="000E1D19">
        <w:rPr>
          <w:rStyle w:val="Voetnootmarkering"/>
          <w:b/>
          <w:bCs/>
        </w:rPr>
        <w:footnoteReference w:id="2"/>
      </w:r>
      <w:r w:rsidR="00F73309">
        <w:rPr>
          <w:b/>
          <w:bCs/>
        </w:rPr>
        <w:t xml:space="preserve"> (</w:t>
      </w:r>
      <w:r w:rsidR="006C2424">
        <w:rPr>
          <w:b/>
          <w:bCs/>
        </w:rPr>
        <w:t>HBE</w:t>
      </w:r>
      <w:r w:rsidR="00480B0F">
        <w:rPr>
          <w:b/>
          <w:bCs/>
        </w:rPr>
        <w:t xml:space="preserve">)  bij de </w:t>
      </w:r>
      <w:r w:rsidR="007E776C">
        <w:rPr>
          <w:b/>
          <w:bCs/>
        </w:rPr>
        <w:t>BVOV</w:t>
      </w:r>
      <w:r w:rsidR="006C2424">
        <w:rPr>
          <w:b/>
          <w:bCs/>
        </w:rPr>
        <w:t xml:space="preserve"> en </w:t>
      </w:r>
      <w:r w:rsidR="007E776C">
        <w:rPr>
          <w:b/>
          <w:bCs/>
        </w:rPr>
        <w:t>TVOV</w:t>
      </w:r>
    </w:p>
    <w:p w14:paraId="1793175A" w14:textId="5B0D12E0" w:rsidR="00473BA2" w:rsidRDefault="00473BA2" w:rsidP="00B52CC6">
      <w:r>
        <w:rPr>
          <w:u w:val="single"/>
        </w:rPr>
        <w:t>Kunnen i</w:t>
      </w:r>
      <w:r w:rsidRPr="00CE460E">
        <w:rPr>
          <w:u w:val="single"/>
        </w:rPr>
        <w:t>n het kader van de beschikbaarheidsvergoeding tussen 1 februari 2021 en januari 2022 de opbrengst</w:t>
      </w:r>
      <w:r w:rsidR="004D04DB">
        <w:rPr>
          <w:u w:val="single"/>
        </w:rPr>
        <w:t>en</w:t>
      </w:r>
      <w:r w:rsidRPr="00CE460E">
        <w:rPr>
          <w:u w:val="single"/>
        </w:rPr>
        <w:t xml:space="preserve"> van verhandelbare HBE’s (hernieuwbare brandstofeenheden) als korting word</w:t>
      </w:r>
      <w:r>
        <w:rPr>
          <w:u w:val="single"/>
        </w:rPr>
        <w:t>en</w:t>
      </w:r>
      <w:r w:rsidRPr="00CE460E">
        <w:rPr>
          <w:u w:val="single"/>
        </w:rPr>
        <w:t xml:space="preserve"> verantwoord op de brandstofkosten</w:t>
      </w:r>
      <w:r>
        <w:rPr>
          <w:u w:val="single"/>
        </w:rPr>
        <w:t>?</w:t>
      </w:r>
    </w:p>
    <w:p w14:paraId="64C2389E" w14:textId="50248B45" w:rsidR="00B52CC6" w:rsidRDefault="00D207F7" w:rsidP="00B52CC6">
      <w:r>
        <w:t xml:space="preserve">Toelichting: </w:t>
      </w:r>
      <w:r w:rsidR="00B52CC6">
        <w:t xml:space="preserve">Tot 1 februari 2021 en na 1 februari 2022 </w:t>
      </w:r>
      <w:r w:rsidR="00CE460E">
        <w:t xml:space="preserve">werden </w:t>
      </w:r>
      <w:r w:rsidR="00B52CC6">
        <w:t>de rechten op verhandelbare HBE’s</w:t>
      </w:r>
      <w:r w:rsidR="000E1D19">
        <w:t>,</w:t>
      </w:r>
      <w:r w:rsidR="00B52CC6">
        <w:t xml:space="preserve"> direct verrekend op de factuur van de geleverde</w:t>
      </w:r>
      <w:r w:rsidR="00531E3B">
        <w:t xml:space="preserve"> Hydrotreated Vegetable Oil</w:t>
      </w:r>
      <w:r w:rsidR="00B52CC6">
        <w:t xml:space="preserve"> </w:t>
      </w:r>
      <w:r w:rsidR="00531E3B">
        <w:t>(</w:t>
      </w:r>
      <w:r w:rsidR="00B52CC6">
        <w:t>HVO</w:t>
      </w:r>
      <w:r w:rsidR="00531E3B">
        <w:t>)</w:t>
      </w:r>
      <w:r w:rsidR="00B52CC6">
        <w:t>. De rechten werden hierbij niet bijgeschreven op de HBE</w:t>
      </w:r>
      <w:r w:rsidR="00531E3B">
        <w:t>-</w:t>
      </w:r>
      <w:r w:rsidR="00B52CC6">
        <w:t xml:space="preserve">rekening van </w:t>
      </w:r>
      <w:r w:rsidR="00C7551B">
        <w:t>Arriva</w:t>
      </w:r>
      <w:r w:rsidR="00B52CC6">
        <w:t xml:space="preserve">. De opbrengsten vanuit deze HBE’s worden conform de geldende richtlijnen jaarverslaggeving in de statutaire jaarrekening </w:t>
      </w:r>
      <w:r w:rsidR="00B52CC6" w:rsidRPr="007601A1">
        <w:rPr>
          <w:u w:val="single"/>
        </w:rPr>
        <w:t>verantwoord als korting op de brandstofkosten</w:t>
      </w:r>
      <w:r w:rsidR="00B52CC6">
        <w:t>.</w:t>
      </w:r>
    </w:p>
    <w:p w14:paraId="2B5D7748" w14:textId="64524DE1" w:rsidR="00B52CC6" w:rsidRDefault="00CE460E" w:rsidP="00B52CC6">
      <w:r>
        <w:t xml:space="preserve">In </w:t>
      </w:r>
      <w:r w:rsidR="00B52CC6">
        <w:t>de</w:t>
      </w:r>
      <w:r w:rsidR="00C91D57">
        <w:t xml:space="preserve"> tussenliggende</w:t>
      </w:r>
      <w:r w:rsidR="00B52CC6">
        <w:t xml:space="preserve"> periode 1 februari 2021 tot 1 februari 2022 </w:t>
      </w:r>
      <w:r>
        <w:t>was er een andere afspraak</w:t>
      </w:r>
      <w:r w:rsidR="00B52CC6">
        <w:t xml:space="preserve"> met de leverancier. </w:t>
      </w:r>
      <w:r>
        <w:t>Toen werden</w:t>
      </w:r>
      <w:r w:rsidR="00B52CC6">
        <w:t xml:space="preserve"> de rechten in de verhandelbare HBE’s bijgeschreven op de HBE rekening van</w:t>
      </w:r>
      <w:r w:rsidR="00C7551B">
        <w:t xml:space="preserve"> Arriva</w:t>
      </w:r>
      <w:r w:rsidR="00B52CC6">
        <w:t xml:space="preserve">. </w:t>
      </w:r>
      <w:r w:rsidR="00C7551B">
        <w:t xml:space="preserve">Arriva </w:t>
      </w:r>
      <w:r w:rsidR="00B52CC6">
        <w:t xml:space="preserve">heeft deze bijgeschreven verhandelbare HBE’s ofwel verkocht aan de leverancier van de HVO diesel ofwel verkocht aan andere partijen. Vanwege het feit dat de verhandelbare HBE’s worden bijgeschreven op de HBE rekening van </w:t>
      </w:r>
      <w:r w:rsidR="00C7551B">
        <w:t xml:space="preserve">Arriva </w:t>
      </w:r>
      <w:r w:rsidR="00B52CC6">
        <w:t xml:space="preserve">en vervolgens door </w:t>
      </w:r>
      <w:r w:rsidR="002A413D">
        <w:t xml:space="preserve">Arriva </w:t>
      </w:r>
      <w:r w:rsidR="00B52CC6">
        <w:t xml:space="preserve">worden verkocht is op basis van de richtlijnen jaarverslaggeving sprake van een verkooptransactie. Met als gevolg dat </w:t>
      </w:r>
      <w:r w:rsidR="00B52CC6" w:rsidRPr="00B92499">
        <w:t xml:space="preserve"> de verkoopopbrengst in de statutaire jaarrekening dient te worden verantwoord onder overige o</w:t>
      </w:r>
      <w:r w:rsidR="00B52CC6">
        <w:t>mzet.</w:t>
      </w:r>
    </w:p>
    <w:p w14:paraId="497E0239" w14:textId="5D3C78C0" w:rsidR="00B52CC6" w:rsidRDefault="007D105E" w:rsidP="00B52CC6">
      <w:r>
        <w:t xml:space="preserve">Dit leidt bij de bepaling van de </w:t>
      </w:r>
      <w:r w:rsidR="007E776C">
        <w:t>BVOV</w:t>
      </w:r>
      <w:r>
        <w:t xml:space="preserve"> </w:t>
      </w:r>
      <w:r w:rsidR="00B52CC6">
        <w:t xml:space="preserve">2021 en </w:t>
      </w:r>
      <w:r>
        <w:t xml:space="preserve">de </w:t>
      </w:r>
      <w:r w:rsidR="007E776C">
        <w:t>BVOV</w:t>
      </w:r>
      <w:r>
        <w:t xml:space="preserve"> 2022 (voor de maand </w:t>
      </w:r>
      <w:r w:rsidR="00B52CC6">
        <w:t>januari</w:t>
      </w:r>
      <w:r>
        <w:t>)</w:t>
      </w:r>
      <w:r w:rsidR="00B52CC6">
        <w:t xml:space="preserve"> tot een mismatch tussen opbrengsten en kosten. De brandstofkosten zijn hoger, omdat de prijs van HVO </w:t>
      </w:r>
      <w:r w:rsidR="00CE460E">
        <w:lastRenderedPageBreak/>
        <w:t xml:space="preserve">diesel </w:t>
      </w:r>
      <w:r w:rsidR="00B52CC6">
        <w:t xml:space="preserve">hoger is dan de prijs van de traditionele diesel. En de opbrengst van de verhandelde HBE’s wordt als omzet in mindering gebracht op de beschikbaarheidsvergoeding.  </w:t>
      </w:r>
    </w:p>
    <w:p w14:paraId="24573A0B" w14:textId="72381010" w:rsidR="00CE460E" w:rsidRDefault="00CE460E" w:rsidP="00B52CC6">
      <w:pPr>
        <w:rPr>
          <w:b/>
          <w:bCs/>
        </w:rPr>
      </w:pPr>
      <w:r w:rsidRPr="00CE460E">
        <w:rPr>
          <w:b/>
          <w:bCs/>
        </w:rPr>
        <w:t xml:space="preserve">Antwoord </w:t>
      </w:r>
    </w:p>
    <w:p w14:paraId="7E5E846E" w14:textId="164D1EFE" w:rsidR="00CE460E" w:rsidRPr="00CE460E" w:rsidRDefault="00CE460E" w:rsidP="00B52CC6">
      <w:r w:rsidRPr="00CE460E">
        <w:t>De opbrengst van verhandelbare HBE's mag niet als korting op de brandstofkosten worden verantwoord</w:t>
      </w:r>
      <w:r>
        <w:t>.</w:t>
      </w:r>
      <w:r w:rsidRPr="00CE460E">
        <w:t xml:space="preserve"> De accountant keurt deze wijze van administreren niet goed. Die ziet enerzijds brandstofkosten en anderzijds opbrengsten uit verhandelbare HBE’s. </w:t>
      </w:r>
    </w:p>
    <w:p w14:paraId="5C32FDB5" w14:textId="3D8F66C5" w:rsidR="008F1A44" w:rsidRPr="008F1A44" w:rsidRDefault="008F1A44" w:rsidP="008F1A44">
      <w:pPr>
        <w:rPr>
          <w:b/>
          <w:bCs/>
        </w:rPr>
      </w:pPr>
      <w:r w:rsidRPr="008F1A44">
        <w:rPr>
          <w:b/>
          <w:bCs/>
        </w:rPr>
        <w:t xml:space="preserve">Vraag </w:t>
      </w:r>
      <w:r w:rsidR="007866F1">
        <w:rPr>
          <w:b/>
          <w:bCs/>
        </w:rPr>
        <w:t>3</w:t>
      </w:r>
      <w:r w:rsidR="001C0F29">
        <w:rPr>
          <w:b/>
          <w:bCs/>
        </w:rPr>
        <w:t>.</w:t>
      </w:r>
      <w:r w:rsidR="006C2424">
        <w:rPr>
          <w:b/>
          <w:bCs/>
        </w:rPr>
        <w:t xml:space="preserve"> Parkshuttle afwijking referentiekosten </w:t>
      </w:r>
      <w:r w:rsidR="007E776C">
        <w:rPr>
          <w:b/>
          <w:bCs/>
        </w:rPr>
        <w:t>BVOV</w:t>
      </w:r>
    </w:p>
    <w:p w14:paraId="65407748" w14:textId="752CE31D" w:rsidR="00F37538" w:rsidRPr="00F37538" w:rsidRDefault="00F37538" w:rsidP="008F1A44">
      <w:pPr>
        <w:rPr>
          <w:u w:val="single"/>
        </w:rPr>
      </w:pPr>
      <w:r w:rsidRPr="008F1A44">
        <w:rPr>
          <w:u w:val="single"/>
        </w:rPr>
        <w:t>Is het toegestaan om bij de Parkshuttle in plaats van de geïndexeerde kosten van referentiejaar 2019 (conform de regeling), als referentie de begrote kosten uit de aanbesteding, geïndexeerd naar 2019 met de in de concessie geldende LBI-index te hanteren.</w:t>
      </w:r>
    </w:p>
    <w:p w14:paraId="5EB9825B" w14:textId="2180B161" w:rsidR="008F1A44" w:rsidRDefault="00F37538" w:rsidP="008F1A44">
      <w:r w:rsidRPr="00F37538">
        <w:rPr>
          <w:u w:val="single"/>
        </w:rPr>
        <w:t>Toelichting</w:t>
      </w:r>
      <w:r>
        <w:rPr>
          <w:u w:val="single"/>
        </w:rPr>
        <w:t>:</w:t>
      </w:r>
      <w:r>
        <w:t xml:space="preserve"> </w:t>
      </w:r>
      <w:r w:rsidR="008F1A44">
        <w:t>In 2019 werd de parkshuttle deels nog met het "oude systeem" gereden dat reeds volledig was afgeschreven. In 2021 zijn de nieuwe shuttles reeds gedeeltelijk afgeschreven (</w:t>
      </w:r>
      <w:r w:rsidR="0067533F">
        <w:t>op grond van een brief van de concessieverlener over de boekwaarde bij einde concessie).</w:t>
      </w:r>
      <w:r w:rsidR="008F1A44">
        <w:t xml:space="preserve"> </w:t>
      </w:r>
    </w:p>
    <w:p w14:paraId="5B368F5A" w14:textId="4453251E" w:rsidR="00B52CC6" w:rsidRDefault="008F1A44" w:rsidP="008F1A44">
      <w:r>
        <w:t>Normaalgesproken is het referentiejaar 2019 en dit is ook in 2020 zo aangehouden omdat</w:t>
      </w:r>
      <w:r w:rsidR="00F15356">
        <w:t xml:space="preserve"> de werkelijke situatie in</w:t>
      </w:r>
      <w:r>
        <w:t xml:space="preserve"> 2020 nog redelijk vergelijkbaar was. De situatie is in 2021 écht veranderd</w:t>
      </w:r>
      <w:r w:rsidR="00F37538">
        <w:t xml:space="preserve">: </w:t>
      </w:r>
      <w:r>
        <w:t>De werkelijke afschrijvingskosten liggen in 2021 significant hoger dan in 2019.</w:t>
      </w:r>
    </w:p>
    <w:p w14:paraId="1694E11A" w14:textId="6BCD34BD" w:rsidR="008F1A44" w:rsidRDefault="008F1A44" w:rsidP="008F1A44">
      <w:pPr>
        <w:rPr>
          <w:b/>
          <w:bCs/>
        </w:rPr>
      </w:pPr>
      <w:r w:rsidRPr="008F1A44">
        <w:rPr>
          <w:b/>
          <w:bCs/>
        </w:rPr>
        <w:t xml:space="preserve">Antwoord </w:t>
      </w:r>
    </w:p>
    <w:p w14:paraId="751175BA" w14:textId="3D5A9156" w:rsidR="008F1A44" w:rsidRPr="008F1A44" w:rsidRDefault="008F1A44" w:rsidP="008F1A44">
      <w:r w:rsidRPr="008F1A44">
        <w:t>Het is niet toegestaan om in plaats van de kosten van referentiejaar 2019 (conform de regeling), als referentie de begrote kosten uit de aanbesteding, geïndexeerd naar 2019 met de in de concessie geldende LBI-index te hanteren.</w:t>
      </w:r>
      <w:r w:rsidR="0095582C">
        <w:t xml:space="preserve"> </w:t>
      </w:r>
      <w:r w:rsidRPr="008F1A44">
        <w:t xml:space="preserve">Het verzoek past niet in de regeling. </w:t>
      </w:r>
    </w:p>
    <w:p w14:paraId="229264EC" w14:textId="60508C9A" w:rsidR="008F1A44" w:rsidRPr="008F1A44" w:rsidRDefault="008F1A44" w:rsidP="008F1A44">
      <w:r w:rsidRPr="008F1A44">
        <w:t>Voorafgaand aan de vaststelling van de regeling is bij alle vervoerders nagevraagd in welke gevallen en voor welke omvang de kosten in 2021 relevant af zouden wijken van 2019. Transdev heeft toen alleen gewezen op Haarlem-I</w:t>
      </w:r>
      <w:r w:rsidR="000C4E71">
        <w:t>J</w:t>
      </w:r>
      <w:r w:rsidRPr="008F1A44">
        <w:t>mond en Noord-Holland Noord</w:t>
      </w:r>
      <w:r w:rsidR="000C4E71">
        <w:t xml:space="preserve"> i</w:t>
      </w:r>
      <w:r w:rsidRPr="008F1A44">
        <w:t xml:space="preserve">.v.m. invoering </w:t>
      </w:r>
      <w:r w:rsidR="000C4E71">
        <w:t xml:space="preserve">van </w:t>
      </w:r>
      <w:r w:rsidRPr="008F1A44">
        <w:t>elektrische bussen.</w:t>
      </w:r>
    </w:p>
    <w:p w14:paraId="1B3B7D51" w14:textId="64E5AC98" w:rsidR="008F1A44" w:rsidRPr="008F1A44" w:rsidRDefault="008F1A44" w:rsidP="008F1A44">
      <w:r w:rsidRPr="008F1A44">
        <w:t>Uit de OV-monitor blijkt dat de kosten</w:t>
      </w:r>
      <w:r w:rsidR="001046D4">
        <w:t xml:space="preserve"> in 2021</w:t>
      </w:r>
      <w:r w:rsidRPr="008F1A44">
        <w:t xml:space="preserve"> stijgen. Echter de exploitatiebijdrage van MRDH blijft constant. Vraag is waarom de concessieverlener geen reden heeft gehad om het nieuwe vervoersysteem (en de migratie daarnaartoe) van een hogere subsidie te voorzien, waarom er niet is voorzien in migratiekosten en waarom er in 2021 niet is afgeschaald, terwijl de regeling dit toeliet.</w:t>
      </w:r>
    </w:p>
    <w:p w14:paraId="687CCB6C" w14:textId="131B754A" w:rsidR="008F1A44" w:rsidRDefault="008F1A44">
      <w:pPr>
        <w:rPr>
          <w:b/>
          <w:bCs/>
        </w:rPr>
      </w:pPr>
      <w:r w:rsidRPr="008F1A44">
        <w:rPr>
          <w:b/>
          <w:bCs/>
        </w:rPr>
        <w:t xml:space="preserve">Vraag </w:t>
      </w:r>
      <w:r w:rsidR="00A9222A">
        <w:rPr>
          <w:b/>
          <w:bCs/>
        </w:rPr>
        <w:t>4</w:t>
      </w:r>
      <w:r w:rsidR="001C0F29">
        <w:rPr>
          <w:b/>
          <w:bCs/>
        </w:rPr>
        <w:t>.</w:t>
      </w:r>
      <w:r w:rsidR="00A9222A">
        <w:rPr>
          <w:b/>
          <w:bCs/>
        </w:rPr>
        <w:t xml:space="preserve"> </w:t>
      </w:r>
      <w:r w:rsidR="006C2424">
        <w:rPr>
          <w:b/>
          <w:bCs/>
        </w:rPr>
        <w:t xml:space="preserve">Verduidelijking bonusverbodsregeling </w:t>
      </w:r>
      <w:r w:rsidR="007E776C">
        <w:rPr>
          <w:b/>
          <w:bCs/>
        </w:rPr>
        <w:t>BVOV</w:t>
      </w:r>
      <w:r w:rsidR="006C2424">
        <w:rPr>
          <w:b/>
          <w:bCs/>
        </w:rPr>
        <w:t xml:space="preserve"> 2021</w:t>
      </w:r>
      <w:r w:rsidR="00703C30">
        <w:rPr>
          <w:b/>
          <w:bCs/>
        </w:rPr>
        <w:t xml:space="preserve">, </w:t>
      </w:r>
      <w:r w:rsidR="007E776C">
        <w:rPr>
          <w:b/>
          <w:bCs/>
        </w:rPr>
        <w:t>BVOV</w:t>
      </w:r>
      <w:r w:rsidR="00703C30">
        <w:rPr>
          <w:b/>
          <w:bCs/>
        </w:rPr>
        <w:t xml:space="preserve"> 2022 en </w:t>
      </w:r>
      <w:r w:rsidR="007E776C">
        <w:rPr>
          <w:b/>
          <w:bCs/>
        </w:rPr>
        <w:t>TVOV</w:t>
      </w:r>
      <w:r w:rsidR="00703C30">
        <w:rPr>
          <w:b/>
          <w:bCs/>
        </w:rPr>
        <w:t xml:space="preserve"> 2023</w:t>
      </w:r>
    </w:p>
    <w:p w14:paraId="1AABE9D5" w14:textId="30AAAA4A" w:rsidR="008F1A44" w:rsidRPr="00AE78E8" w:rsidRDefault="008F1A44" w:rsidP="008F1A44">
      <w:pPr>
        <w:rPr>
          <w:u w:val="single"/>
        </w:rPr>
      </w:pPr>
      <w:r w:rsidRPr="00AE78E8">
        <w:rPr>
          <w:u w:val="single"/>
        </w:rPr>
        <w:t xml:space="preserve">1. Kan worden verduidelijkt op welke personen de bonusverbodsregeling </w:t>
      </w:r>
      <w:r w:rsidR="00AE78E8" w:rsidRPr="00AE78E8">
        <w:rPr>
          <w:u w:val="single"/>
        </w:rPr>
        <w:t xml:space="preserve">in de </w:t>
      </w:r>
      <w:r w:rsidR="007E776C">
        <w:rPr>
          <w:u w:val="single"/>
        </w:rPr>
        <w:t>BVOV</w:t>
      </w:r>
      <w:r w:rsidR="00AE78E8" w:rsidRPr="00AE78E8">
        <w:rPr>
          <w:u w:val="single"/>
        </w:rPr>
        <w:t xml:space="preserve"> 2021 en </w:t>
      </w:r>
      <w:r w:rsidR="007E776C">
        <w:rPr>
          <w:u w:val="single"/>
        </w:rPr>
        <w:t>BVOV</w:t>
      </w:r>
      <w:r w:rsidR="00AE78E8" w:rsidRPr="00AE78E8">
        <w:rPr>
          <w:u w:val="single"/>
        </w:rPr>
        <w:t xml:space="preserve"> 2022 </w:t>
      </w:r>
      <w:r w:rsidRPr="00AE78E8">
        <w:rPr>
          <w:u w:val="single"/>
        </w:rPr>
        <w:t xml:space="preserve">is gericht? </w:t>
      </w:r>
    </w:p>
    <w:p w14:paraId="31008BE0" w14:textId="4E6B47FF" w:rsidR="008F1A44" w:rsidRPr="00AE78E8" w:rsidRDefault="008F1A44" w:rsidP="008F1A44">
      <w:pPr>
        <w:rPr>
          <w:u w:val="single"/>
        </w:rPr>
      </w:pPr>
      <w:r w:rsidRPr="00AE78E8">
        <w:rPr>
          <w:u w:val="single"/>
        </w:rPr>
        <w:t xml:space="preserve">2. Kan het begrip Nederlandse entiteit worden verduidelijkt?  </w:t>
      </w:r>
    </w:p>
    <w:p w14:paraId="19D2D3E4" w14:textId="0CF089E4" w:rsidR="00695C13" w:rsidRDefault="00695C13" w:rsidP="008F1A44">
      <w:pPr>
        <w:rPr>
          <w:b/>
          <w:bCs/>
        </w:rPr>
      </w:pPr>
      <w:r w:rsidRPr="00695C13">
        <w:t xml:space="preserve">Toelichting: </w:t>
      </w:r>
      <w:r>
        <w:t xml:space="preserve">Met name het begrip </w:t>
      </w:r>
      <w:r w:rsidRPr="00695C13">
        <w:t xml:space="preserve">“Nederlandse </w:t>
      </w:r>
      <w:r w:rsidRPr="008F1A44">
        <w:t>entiteit”</w:t>
      </w:r>
      <w:r w:rsidR="00A364B7">
        <w:t xml:space="preserve"> </w:t>
      </w:r>
      <w:r>
        <w:t xml:space="preserve">zorgt </w:t>
      </w:r>
      <w:r w:rsidRPr="008F1A44">
        <w:t xml:space="preserve">ervoor dat de voorwaarden voor de </w:t>
      </w:r>
      <w:r w:rsidR="007E776C">
        <w:t>BVOV</w:t>
      </w:r>
      <w:r w:rsidRPr="008F1A44">
        <w:t xml:space="preserve"> (o.a. door de accountant) o.i. te ruim worden opgevat.</w:t>
      </w:r>
    </w:p>
    <w:p w14:paraId="339E0687" w14:textId="3A924E4E" w:rsidR="008F1A44" w:rsidRDefault="008F1A44" w:rsidP="008F1A44">
      <w:pPr>
        <w:rPr>
          <w:b/>
          <w:bCs/>
        </w:rPr>
      </w:pPr>
      <w:r w:rsidRPr="008F1A44">
        <w:rPr>
          <w:b/>
          <w:bCs/>
        </w:rPr>
        <w:t xml:space="preserve">Antwoord </w:t>
      </w:r>
    </w:p>
    <w:p w14:paraId="6FF4935D" w14:textId="6441E272" w:rsidR="006F0286" w:rsidRDefault="00D10FC2" w:rsidP="00D10FC2">
      <w:r>
        <w:t xml:space="preserve">Voor de </w:t>
      </w:r>
      <w:r w:rsidR="007E776C">
        <w:rPr>
          <w:u w:val="single"/>
        </w:rPr>
        <w:t>BVOV</w:t>
      </w:r>
      <w:r w:rsidRPr="00323187">
        <w:rPr>
          <w:u w:val="single"/>
        </w:rPr>
        <w:t xml:space="preserve"> 2021</w:t>
      </w:r>
      <w:r>
        <w:t xml:space="preserve"> </w:t>
      </w:r>
      <w:r w:rsidR="00BE334C">
        <w:t xml:space="preserve">is m.b.t. de bonusregeling het volgende opgenomen: </w:t>
      </w:r>
    </w:p>
    <w:p w14:paraId="59E6D69D" w14:textId="4BB75802" w:rsidR="00D10FC2" w:rsidRDefault="006F0286" w:rsidP="00D10FC2">
      <w:r>
        <w:t>Artikel 6, lid 6:</w:t>
      </w:r>
      <w:r w:rsidR="00D10FC2">
        <w:t xml:space="preserve"> Er wordt geen beschikbaarheidsvergoeding verstrekt indien in of naar aanleiding van het jaar  2021</w:t>
      </w:r>
      <w:r>
        <w:t>:</w:t>
      </w:r>
    </w:p>
    <w:p w14:paraId="07C422ED" w14:textId="59E3E091" w:rsidR="00D10FC2" w:rsidRDefault="00D10FC2" w:rsidP="00D10FC2">
      <w:pPr>
        <w:pStyle w:val="Lijstalinea"/>
        <w:numPr>
          <w:ilvl w:val="0"/>
          <w:numId w:val="2"/>
        </w:numPr>
      </w:pPr>
      <w:r>
        <w:lastRenderedPageBreak/>
        <w:t xml:space="preserve">bonussen worden verstrekt aan </w:t>
      </w:r>
      <w:r w:rsidR="009D5E84">
        <w:t xml:space="preserve">de </w:t>
      </w:r>
      <w:r>
        <w:t>raad van bestuur, bestuur en directie binnen een Nederlandse entiteit"</w:t>
      </w:r>
    </w:p>
    <w:p w14:paraId="3CC966CD" w14:textId="204F5626" w:rsidR="008F1A44" w:rsidRDefault="006D4693" w:rsidP="008F1A44">
      <w:r>
        <w:t xml:space="preserve">IenW staat op het standpunt dat deze regeling inhoudelijk </w:t>
      </w:r>
      <w:r w:rsidR="00D71010">
        <w:t xml:space="preserve">gelijk moet worden </w:t>
      </w:r>
      <w:r w:rsidR="006F0286">
        <w:t>geïnterpreteerd</w:t>
      </w:r>
      <w:r w:rsidR="00D71010">
        <w:t xml:space="preserve"> als de </w:t>
      </w:r>
      <w:r w:rsidR="00644FFF">
        <w:t>bonusr</w:t>
      </w:r>
      <w:r w:rsidR="008F1A44">
        <w:t>egeling</w:t>
      </w:r>
      <w:r w:rsidR="00644FFF">
        <w:t xml:space="preserve"> in de</w:t>
      </w:r>
      <w:r w:rsidR="008F1A44">
        <w:t xml:space="preserve"> </w:t>
      </w:r>
      <w:r w:rsidR="009C75B0">
        <w:t>SPUK</w:t>
      </w:r>
      <w:r w:rsidR="008F1A44">
        <w:t xml:space="preserve"> </w:t>
      </w:r>
      <w:r w:rsidR="007E776C">
        <w:rPr>
          <w:u w:val="single"/>
        </w:rPr>
        <w:t>BVOV</w:t>
      </w:r>
      <w:r w:rsidR="008F1A44" w:rsidRPr="00323187">
        <w:rPr>
          <w:u w:val="single"/>
        </w:rPr>
        <w:t xml:space="preserve"> 2022</w:t>
      </w:r>
      <w:r w:rsidR="006A60A6">
        <w:rPr>
          <w:u w:val="single"/>
        </w:rPr>
        <w:t xml:space="preserve"> en </w:t>
      </w:r>
      <w:r w:rsidR="007E776C">
        <w:rPr>
          <w:u w:val="single"/>
        </w:rPr>
        <w:t>TVOV</w:t>
      </w:r>
      <w:r w:rsidR="00231986">
        <w:rPr>
          <w:u w:val="single"/>
        </w:rPr>
        <w:t xml:space="preserve"> 2023</w:t>
      </w:r>
      <w:r w:rsidR="00D71010">
        <w:rPr>
          <w:u w:val="single"/>
        </w:rPr>
        <w:t xml:space="preserve">: </w:t>
      </w:r>
    </w:p>
    <w:p w14:paraId="73D48814" w14:textId="64F801EC" w:rsidR="008F1A44" w:rsidRDefault="008F1A44" w:rsidP="008F1A44">
      <w:r>
        <w:t>Artikel 6, lid 6</w:t>
      </w:r>
      <w:r w:rsidR="00F4545E">
        <w:t>:</w:t>
      </w:r>
      <w:r>
        <w:t xml:space="preserve"> Er wordt geen beschikbaarheidsvergoeding verstrekt indien in of naar aanleiding van het jaar 2022:</w:t>
      </w:r>
    </w:p>
    <w:p w14:paraId="3B75691E" w14:textId="47B4D7CA" w:rsidR="008F1A44" w:rsidRDefault="008F1A44" w:rsidP="008F1A44">
      <w:r>
        <w:t>a.</w:t>
      </w:r>
      <w:r>
        <w:tab/>
        <w:t>bonussen worden verstrekt aan de Raad van bestuur en directie binnen een Nederlandse entiteit die belast is met de uitvoering van de concessies voor het openbaar vervoer in Nederland en</w:t>
      </w:r>
      <w:r w:rsidR="00534214">
        <w:t xml:space="preserve"> die</w:t>
      </w:r>
      <w:r>
        <w:t xml:space="preserve"> deel uitmaakt van de groep waar het vervoerbedrijf deel van uitmaakt als bedoeld in artikel 24b van Boek 2 van het Burgerlijk Wetboek.</w:t>
      </w:r>
    </w:p>
    <w:p w14:paraId="36FE5B8F" w14:textId="4AB742D9" w:rsidR="008F1A44" w:rsidRDefault="008F1A44" w:rsidP="008F1A44">
      <w:r>
        <w:t xml:space="preserve">In de toelichting in de </w:t>
      </w:r>
      <w:r w:rsidR="009C75B0">
        <w:t>SPUK</w:t>
      </w:r>
      <w:r>
        <w:t xml:space="preserve"> bij artikel 6 wordt het volgende opgenomen: Het uitkeren van bonussen aan medewerkers met een beleidsbepalende functie - de Raad van bestuur of directie - is niet toegestaan. </w:t>
      </w:r>
    </w:p>
    <w:p w14:paraId="1BE26945" w14:textId="4FCE41DE" w:rsidR="008F1A44" w:rsidRDefault="008F1A44" w:rsidP="008F1A44">
      <w:r>
        <w:t xml:space="preserve">Deze tekst is in lijn met de technische notitie 2022: </w:t>
      </w:r>
      <w:r w:rsidR="0040541B">
        <w:t>“</w:t>
      </w:r>
      <w:r>
        <w:t>Vervoerders keren in de subsidiabele periode van 2022 dan wel naar aanleiding van de resultaten van de subsidiabele periode van 2022 geen bonussen uit aan hun Raad van Bestuur en directie (Raad van Bestuur en directie binnen een Nederlandse entiteit die belast is met de uitvoering van de Nederlandse ov-concessies én die deel uitmaakt van de groep waar het vervoerbedrijf deel van uitmaakt als bedoeld in artikel 24b van Boek 2 van het Burgerlijk Wetboek).</w:t>
      </w:r>
      <w:r w:rsidR="0040541B">
        <w:t>”</w:t>
      </w:r>
    </w:p>
    <w:p w14:paraId="76B7A4E2" w14:textId="6AF8E73B" w:rsidR="008F1A44" w:rsidRDefault="008F1A44" w:rsidP="008F1A44">
      <w:r>
        <w:t xml:space="preserve">De aanpassingen </w:t>
      </w:r>
      <w:r w:rsidR="006F4A4B">
        <w:t xml:space="preserve">in de </w:t>
      </w:r>
      <w:r w:rsidR="009C75B0">
        <w:t>SPUK</w:t>
      </w:r>
      <w:r w:rsidR="006F4A4B">
        <w:t xml:space="preserve"> </w:t>
      </w:r>
      <w:r w:rsidR="007E776C">
        <w:t>BVOV</w:t>
      </w:r>
      <w:r w:rsidR="006F4A4B">
        <w:t xml:space="preserve"> 2022 </w:t>
      </w:r>
      <w:r>
        <w:t xml:space="preserve">maken duidelijk dat de voorwaarden voor de </w:t>
      </w:r>
      <w:r w:rsidR="007E776C">
        <w:t>BVOV</w:t>
      </w:r>
      <w:r>
        <w:t xml:space="preserve"> 2022 reiken tot de Nederlandse ov-concessies en niet daarbuiten. </w:t>
      </w:r>
      <w:r w:rsidR="00CE0469">
        <w:t>Door d</w:t>
      </w:r>
      <w:r>
        <w:t xml:space="preserve">eze aanpassing gelden de voorwaarden niet voor een Nederlandse entiteit die geen betrekking heeft op een Nederlandse ov-concessie. Tevens wordt expliciet gemaakt dat alleen entiteiten worden meegenomen die gerekend worden tot de groep. Dat geldt </w:t>
      </w:r>
      <w:r w:rsidR="00C1494C">
        <w:t>bijvoorbeeld</w:t>
      </w:r>
      <w:r>
        <w:t xml:space="preserve"> niet voor entiteiten waarin weliswaar een (beperkt) belang gehouden wordt, maar waar geen feitelijke zeggenschap </w:t>
      </w:r>
      <w:r w:rsidR="00152C17">
        <w:t xml:space="preserve">over </w:t>
      </w:r>
      <w:r>
        <w:t>bestaat. In dit geval is het namelijk ook niet mogelijk om bonussen te beïnvloeden.</w:t>
      </w:r>
      <w:r w:rsidR="00762C18">
        <w:t xml:space="preserve"> </w:t>
      </w:r>
      <w:r>
        <w:t xml:space="preserve">Verder wordt helder dat de bonusregeling in de  </w:t>
      </w:r>
      <w:r w:rsidR="007E776C">
        <w:t>BVOV</w:t>
      </w:r>
      <w:r>
        <w:t xml:space="preserve"> alleen betrekking heeft op leden van de Raad van bestuur of directie. </w:t>
      </w:r>
    </w:p>
    <w:p w14:paraId="66045417" w14:textId="00709BB6" w:rsidR="008F1A44" w:rsidRDefault="008F1A44">
      <w:r>
        <w:t xml:space="preserve">In afwijking van de </w:t>
      </w:r>
      <w:r w:rsidR="009C75B0">
        <w:t>SPUK</w:t>
      </w:r>
      <w:r>
        <w:t xml:space="preserve"> </w:t>
      </w:r>
      <w:r w:rsidR="007E776C">
        <w:t>BVOV</w:t>
      </w:r>
      <w:r>
        <w:t xml:space="preserve"> 2021 is het meer algemene woord "bestuur" weggelaten. Het gaat hier om een verduidelijking en niet om een inhoudelijke wijziging ten opzichte van de regeling 2021.</w:t>
      </w:r>
      <w:r w:rsidR="009C75B0">
        <w:t xml:space="preserve"> </w:t>
      </w:r>
      <w:r>
        <w:br w:type="page"/>
      </w:r>
    </w:p>
    <w:p w14:paraId="0BA6ABC0" w14:textId="0C48F2FC" w:rsidR="008F1A44" w:rsidRPr="008F1A44" w:rsidRDefault="008F1A44" w:rsidP="008F1A44">
      <w:pPr>
        <w:rPr>
          <w:b/>
          <w:bCs/>
        </w:rPr>
      </w:pPr>
      <w:r w:rsidRPr="008F1A44">
        <w:rPr>
          <w:b/>
          <w:bCs/>
        </w:rPr>
        <w:lastRenderedPageBreak/>
        <w:t xml:space="preserve">Vraag </w:t>
      </w:r>
      <w:r w:rsidR="00A9222A">
        <w:rPr>
          <w:b/>
          <w:bCs/>
        </w:rPr>
        <w:t>5</w:t>
      </w:r>
      <w:r w:rsidR="001C0F29">
        <w:rPr>
          <w:b/>
          <w:bCs/>
        </w:rPr>
        <w:t>.</w:t>
      </w:r>
      <w:r w:rsidR="00A9222A">
        <w:rPr>
          <w:b/>
          <w:bCs/>
        </w:rPr>
        <w:t xml:space="preserve"> </w:t>
      </w:r>
      <w:r w:rsidR="006C2424">
        <w:rPr>
          <w:b/>
          <w:bCs/>
        </w:rPr>
        <w:t xml:space="preserve">Behandeling overheidssubsidies </w:t>
      </w:r>
      <w:r w:rsidR="007E776C">
        <w:rPr>
          <w:b/>
          <w:bCs/>
        </w:rPr>
        <w:t>BVOV</w:t>
      </w:r>
    </w:p>
    <w:p w14:paraId="6536CA2C" w14:textId="190BEAD6" w:rsidR="008F1A44" w:rsidRDefault="008F1A44" w:rsidP="008F1A44">
      <w:pPr>
        <w:rPr>
          <w:u w:val="single"/>
        </w:rPr>
      </w:pPr>
      <w:r w:rsidRPr="001225A5">
        <w:rPr>
          <w:u w:val="single"/>
        </w:rPr>
        <w:t xml:space="preserve">Onder welke voorwaarden </w:t>
      </w:r>
      <w:r w:rsidR="00DA7E03" w:rsidRPr="001225A5">
        <w:rPr>
          <w:u w:val="single"/>
        </w:rPr>
        <w:t xml:space="preserve">kunnen bij de </w:t>
      </w:r>
      <w:r w:rsidR="00D81582" w:rsidRPr="001225A5">
        <w:rPr>
          <w:u w:val="single"/>
        </w:rPr>
        <w:t>BVOC</w:t>
      </w:r>
      <w:r w:rsidRPr="001225A5">
        <w:rPr>
          <w:u w:val="single"/>
        </w:rPr>
        <w:t xml:space="preserve"> 202</w:t>
      </w:r>
      <w:r w:rsidR="00437EA3" w:rsidRPr="001225A5">
        <w:rPr>
          <w:u w:val="single"/>
        </w:rPr>
        <w:t xml:space="preserve">1 </w:t>
      </w:r>
      <w:r w:rsidR="007E776C" w:rsidRPr="001225A5">
        <w:rPr>
          <w:u w:val="single"/>
        </w:rPr>
        <w:t>BVOV</w:t>
      </w:r>
      <w:r w:rsidR="00D81582" w:rsidRPr="001225A5">
        <w:rPr>
          <w:u w:val="single"/>
        </w:rPr>
        <w:t xml:space="preserve"> </w:t>
      </w:r>
      <w:r w:rsidR="00437EA3" w:rsidRPr="001225A5">
        <w:rPr>
          <w:u w:val="single"/>
        </w:rPr>
        <w:t>2022</w:t>
      </w:r>
      <w:r w:rsidRPr="001225A5">
        <w:rPr>
          <w:u w:val="single"/>
        </w:rPr>
        <w:t xml:space="preserve"> </w:t>
      </w:r>
      <w:r w:rsidR="00D81582" w:rsidRPr="001225A5">
        <w:rPr>
          <w:u w:val="single"/>
        </w:rPr>
        <w:t xml:space="preserve">en </w:t>
      </w:r>
      <w:r w:rsidR="007E776C" w:rsidRPr="001225A5">
        <w:rPr>
          <w:u w:val="single"/>
        </w:rPr>
        <w:t>TVOV</w:t>
      </w:r>
      <w:r w:rsidR="00DA7E03" w:rsidRPr="001225A5">
        <w:rPr>
          <w:u w:val="single"/>
        </w:rPr>
        <w:t xml:space="preserve"> 2023 </w:t>
      </w:r>
      <w:r w:rsidRPr="001225A5">
        <w:rPr>
          <w:u w:val="single"/>
        </w:rPr>
        <w:t xml:space="preserve">overheidssubsidies </w:t>
      </w:r>
      <w:r w:rsidR="00DA7E03" w:rsidRPr="001225A5">
        <w:rPr>
          <w:u w:val="single"/>
        </w:rPr>
        <w:t>buiten beschouwing blijven</w:t>
      </w:r>
      <w:r w:rsidRPr="001225A5">
        <w:rPr>
          <w:u w:val="single"/>
        </w:rPr>
        <w:t xml:space="preserve">?  </w:t>
      </w:r>
    </w:p>
    <w:p w14:paraId="43CEF4AF" w14:textId="1F127BD7" w:rsidR="00E41BF7" w:rsidRDefault="00E41BF7" w:rsidP="00E41BF7">
      <w:r w:rsidRPr="00E41BF7">
        <w:rPr>
          <w:u w:val="single"/>
        </w:rPr>
        <w:t>Toelichting:</w:t>
      </w:r>
      <w:r>
        <w:t xml:space="preserve"> </w:t>
      </w:r>
      <w:r w:rsidRPr="006C2424">
        <w:t>Voorbeelden van bedoelde overheidssubsidies zijn MDIEU, de regeling versnelling verduurzaming ov en de Tijdelijke uitvoeringsregeling stimuleringsmaatregelen Transitieprogramma OV en corona.</w:t>
      </w:r>
    </w:p>
    <w:p w14:paraId="38193E65" w14:textId="0929A1B1" w:rsidR="008F1A44" w:rsidRPr="008F1A44" w:rsidRDefault="008F1A44" w:rsidP="008F1A44">
      <w:pPr>
        <w:rPr>
          <w:b/>
          <w:bCs/>
        </w:rPr>
      </w:pPr>
      <w:r w:rsidRPr="008F1A44">
        <w:rPr>
          <w:b/>
          <w:bCs/>
        </w:rPr>
        <w:t xml:space="preserve">Antwoord </w:t>
      </w:r>
    </w:p>
    <w:p w14:paraId="30925835" w14:textId="1F1BF7EE" w:rsidR="008F1A44" w:rsidRDefault="00D81582" w:rsidP="008F1A44">
      <w:r>
        <w:t xml:space="preserve">Zowel voor de </w:t>
      </w:r>
      <w:r w:rsidR="007E776C">
        <w:t>BVOV</w:t>
      </w:r>
      <w:r>
        <w:t xml:space="preserve"> 2021, 2022 en </w:t>
      </w:r>
      <w:r w:rsidR="007E776C">
        <w:t>TVOV</w:t>
      </w:r>
      <w:r>
        <w:t xml:space="preserve"> 202</w:t>
      </w:r>
      <w:r w:rsidR="00CB1499">
        <w:t>3</w:t>
      </w:r>
      <w:r>
        <w:t xml:space="preserve"> geldt dat dit </w:t>
      </w:r>
      <w:r w:rsidR="008F1A44">
        <w:t xml:space="preserve">is toegelaten indien de kosten die door de opbrengsten </w:t>
      </w:r>
      <w:r w:rsidR="00EC35FF">
        <w:t xml:space="preserve">van deze subsidie </w:t>
      </w:r>
      <w:r w:rsidR="008F1A44">
        <w:t>gedekt worden</w:t>
      </w:r>
      <w:r w:rsidR="00EC35FF">
        <w:t>,</w:t>
      </w:r>
      <w:r w:rsidR="008F1A44">
        <w:t xml:space="preserve"> eveneens aan de berekening voor de </w:t>
      </w:r>
      <w:r w:rsidR="007E776C">
        <w:t>BVOV</w:t>
      </w:r>
      <w:r w:rsidR="00CB1499">
        <w:t>/</w:t>
      </w:r>
      <w:r w:rsidR="007E776C">
        <w:t>TVOV</w:t>
      </w:r>
      <w:r w:rsidR="008F1A44">
        <w:t xml:space="preserve"> onttrokken zijn. </w:t>
      </w:r>
      <w:r w:rsidR="00C16698">
        <w:t xml:space="preserve">Zo wordt voorkomen dat </w:t>
      </w:r>
      <w:r w:rsidR="008F1A44">
        <w:t xml:space="preserve">de </w:t>
      </w:r>
      <w:r w:rsidR="007E776C">
        <w:t>BVOV</w:t>
      </w:r>
      <w:r w:rsidR="008F1A44">
        <w:t xml:space="preserve"> een vergoeding bied</w:t>
      </w:r>
      <w:r w:rsidR="00C16698">
        <w:t>t</w:t>
      </w:r>
      <w:r w:rsidR="008F1A44">
        <w:t xml:space="preserve"> voor betreffende kosten. De kosten waaraan de subsidie tegemoetkomt zijn bij aanvraag en verantwoording van de </w:t>
      </w:r>
      <w:r w:rsidR="007E776C">
        <w:t>BVOV</w:t>
      </w:r>
      <w:r w:rsidR="008F1A44">
        <w:t xml:space="preserve"> in ieder geval geen onderdeel van de opgave van de feitelijke kosten tijdens de subsidiabele periode. In het geval de gesubsidieerde kosten ook onderdeel zijn van de referentiekosten, worden ze ook daaruit weggelaten ten behoeve van de berekening van de </w:t>
      </w:r>
      <w:r w:rsidR="007E776C">
        <w:t>BVOV</w:t>
      </w:r>
      <w:r w:rsidR="008F1A44">
        <w:t>.</w:t>
      </w:r>
    </w:p>
    <w:p w14:paraId="428CCFC1" w14:textId="204719D0" w:rsidR="008F1A44" w:rsidRDefault="008F1A44" w:rsidP="00A27769">
      <w:r>
        <w:t xml:space="preserve">Dit geldt ook voor de regeling 2021. De voorziening past namelijk onder de bestaande ruimte om in geval van ‘volledige bekostiging’, betrokken kosten en opbrengsten buiten beschouwing te laten bij berekening van de </w:t>
      </w:r>
      <w:r w:rsidR="007E776C">
        <w:t>BVOV</w:t>
      </w:r>
      <w:r>
        <w:t>. De regeling</w:t>
      </w:r>
      <w:r w:rsidR="000673CF">
        <w:t xml:space="preserve">en </w:t>
      </w:r>
      <w:r>
        <w:t>2022</w:t>
      </w:r>
      <w:r w:rsidR="000673CF">
        <w:t xml:space="preserve"> en 2023</w:t>
      </w:r>
      <w:r>
        <w:t xml:space="preserve"> ken</w:t>
      </w:r>
      <w:r w:rsidR="000673CF">
        <w:t>nen</w:t>
      </w:r>
      <w:r>
        <w:t xml:space="preserve"> een meer uitgebreide toelichting op ‘volledige bekostiging’ maar is op dit punt niet anders dan de regeling 2021.</w:t>
      </w:r>
      <w:r w:rsidR="00A27769">
        <w:t xml:space="preserve"> De beschrijving in de Technische notitie 2022 en 2022 luidt als volgt: </w:t>
      </w:r>
    </w:p>
    <w:p w14:paraId="47A88859" w14:textId="2B23B94E" w:rsidR="004A4893" w:rsidRPr="000721AA" w:rsidRDefault="004A4893" w:rsidP="004A4893">
      <w:r w:rsidRPr="000721AA">
        <w:t xml:space="preserve">TN pag. 28 </w:t>
      </w:r>
      <w:r w:rsidR="009C75B0">
        <w:t>SPUK</w:t>
      </w:r>
      <w:r w:rsidRPr="000721AA">
        <w:t xml:space="preserve">:  Overheidssubsidies (waaronder bekostiging door veelal concessieverleners) voor projecten of activiteiten mogen buiten beschouwing blijven mits ook eenzelfde hoeveelheid kosten die vervoerders voor die activiteiten maken, evenzeer buiten beeld van de BVOV 2022 blijven (zie paragraaf 3.1). De subsidie die niet in mindering gebracht wordt, betreft daardoor steeds een tegemoetkoming aan kosten die ook niet door de BVOV vergoed worden. Het gaat om volledige bekostiging van onderdelen van de referentiekosten zoals genoemd in de voorbeelden van paragraaf 3.1 of om een tegemoetkoming voor nieuwe kosten. Voorbeelden daarvan zijn: </w:t>
      </w:r>
    </w:p>
    <w:p w14:paraId="27839AB8" w14:textId="77777777" w:rsidR="004A4893" w:rsidRPr="000721AA" w:rsidRDefault="004A4893" w:rsidP="004A4893">
      <w:pPr>
        <w:pStyle w:val="Lijstalinea"/>
        <w:numPr>
          <w:ilvl w:val="0"/>
          <w:numId w:val="6"/>
        </w:numPr>
      </w:pPr>
      <w:r w:rsidRPr="000721AA">
        <w:t>MDIEU: voor meerkosten gemaakt voor het faciliteren van sectorale maatwerkafspraken betreffende duurzame inzetbaarheid en eerder uittreden;</w:t>
      </w:r>
    </w:p>
    <w:p w14:paraId="7ED35D41" w14:textId="29279749" w:rsidR="004A4893" w:rsidRPr="002C1EF0" w:rsidRDefault="004A4893" w:rsidP="004A4893">
      <w:pPr>
        <w:pStyle w:val="Lijstalinea"/>
        <w:numPr>
          <w:ilvl w:val="0"/>
          <w:numId w:val="6"/>
        </w:numPr>
      </w:pPr>
      <w:r w:rsidRPr="002C1EF0">
        <w:t xml:space="preserve">De regeling versnelling verduurzaming </w:t>
      </w:r>
      <w:r w:rsidR="001C2F16">
        <w:t>OV</w:t>
      </w:r>
      <w:r w:rsidRPr="002C1EF0">
        <w:t xml:space="preserve"> die zich richt op de meerkosten voor het exploiteren van </w:t>
      </w:r>
      <w:r w:rsidR="00AE2CC1">
        <w:t>zero-emissie</w:t>
      </w:r>
      <w:r w:rsidRPr="002C1EF0">
        <w:t>voertuigen (in plaats van diesel en gas als brandstof);</w:t>
      </w:r>
    </w:p>
    <w:p w14:paraId="0DAD93B5" w14:textId="77777777" w:rsidR="004A4893" w:rsidRPr="002C1EF0" w:rsidRDefault="004A4893" w:rsidP="004A4893">
      <w:pPr>
        <w:pStyle w:val="Lijstalinea"/>
        <w:numPr>
          <w:ilvl w:val="0"/>
          <w:numId w:val="6"/>
        </w:numPr>
      </w:pPr>
      <w:r w:rsidRPr="002C1EF0">
        <w:t>De Tijdelijke uitvoeringsregeling stimuleringsmaatregelen Transitieprogramma OV en corona richt zich op de meerkosten als gevolg van Invoering Nieuwe Betaalwijzen, Transformatie arbeidsmarkt, Versnellingsmaatregelen, lokaal maatwerkvervoer en ketenmobiliteit.</w:t>
      </w:r>
    </w:p>
    <w:p w14:paraId="71DCB909" w14:textId="2973DA0B" w:rsidR="004A4893" w:rsidRPr="00B54050" w:rsidRDefault="004A4893" w:rsidP="004A4893">
      <w:r w:rsidRPr="002C1EF0">
        <w:t>Er kan maar één subsidie voor één en dezelfde kostenpost buiten beschouwing blijven in de berekening van de BVOV.</w:t>
      </w:r>
      <w:r w:rsidR="00C5730C">
        <w:t xml:space="preserve"> </w:t>
      </w:r>
      <w:r w:rsidRPr="00B54050">
        <w:t>Indien een overheidssubsidie niet in mindering gebracht wordt op de bvov, stelt dat eisen aan de administratie voor de verantwoording. Zowel de (meer)kosten waar de subsidie voor bedoeld is als de</w:t>
      </w:r>
      <w:r>
        <w:t xml:space="preserve"> </w:t>
      </w:r>
      <w:r w:rsidRPr="00B54050">
        <w:t>subsidie zelf, blijven buiten de referentie- en feitelijke kosten en opbrengsten bij aanvraag en/of verantwoording van de bvov. Bedoelde (meer)kosten en subsidie zijn gelijk in omvang.</w:t>
      </w:r>
    </w:p>
    <w:p w14:paraId="4153D1E8" w14:textId="3BB37273" w:rsidR="004A4893" w:rsidRDefault="004A4893" w:rsidP="004A4893">
      <w:r w:rsidRPr="00B54050">
        <w:t xml:space="preserve">Er is een transparante en inzichtelijke administratie beschikbaar van betreffende (meer)kosten en </w:t>
      </w:r>
      <w:r>
        <w:t>s</w:t>
      </w:r>
      <w:r w:rsidRPr="00B54050">
        <w:t>ubsidie. Deze administratie is onderwerp van het controleprotocol dat de accountant van de</w:t>
      </w:r>
      <w:r>
        <w:t xml:space="preserve"> </w:t>
      </w:r>
      <w:r w:rsidRPr="00B54050">
        <w:t>concessiehouder uitvoert. Naar verwachting moet deze administratie reeds beschikbaar zijn omdat immers ook de subsidie verantwoord moet worden</w:t>
      </w:r>
      <w:r>
        <w:t>.</w:t>
      </w:r>
    </w:p>
    <w:p w14:paraId="0BA35018" w14:textId="659E6418" w:rsidR="007B5DCE" w:rsidRDefault="007B5DCE" w:rsidP="007B5DCE">
      <w:pPr>
        <w:rPr>
          <w:b/>
          <w:bCs/>
        </w:rPr>
      </w:pPr>
      <w:r>
        <w:rPr>
          <w:b/>
          <w:bCs/>
        </w:rPr>
        <w:lastRenderedPageBreak/>
        <w:t>Vraag</w:t>
      </w:r>
      <w:r w:rsidR="00DD14D4">
        <w:rPr>
          <w:b/>
          <w:bCs/>
        </w:rPr>
        <w:t xml:space="preserve"> </w:t>
      </w:r>
      <w:r w:rsidR="00A9222A">
        <w:rPr>
          <w:b/>
          <w:bCs/>
        </w:rPr>
        <w:t>6</w:t>
      </w:r>
      <w:r w:rsidR="001C0F29">
        <w:rPr>
          <w:b/>
          <w:bCs/>
        </w:rPr>
        <w:t>.</w:t>
      </w:r>
      <w:r w:rsidR="00A9222A">
        <w:rPr>
          <w:b/>
          <w:bCs/>
        </w:rPr>
        <w:t xml:space="preserve"> </w:t>
      </w:r>
      <w:r w:rsidR="00DD14D4">
        <w:rPr>
          <w:b/>
          <w:bCs/>
        </w:rPr>
        <w:t>Verwerking van correcties en nagekomen posten</w:t>
      </w:r>
    </w:p>
    <w:p w14:paraId="2056AD5B" w14:textId="3DBEEC83" w:rsidR="007B5DCE" w:rsidRPr="001225A5" w:rsidRDefault="007B5DCE" w:rsidP="007B5DCE">
      <w:pPr>
        <w:rPr>
          <w:u w:val="single"/>
        </w:rPr>
      </w:pPr>
      <w:r w:rsidRPr="001225A5">
        <w:rPr>
          <w:u w:val="single"/>
        </w:rPr>
        <w:t>Hoe moet worden omgegaan met nagekomen posten</w:t>
      </w:r>
      <w:r w:rsidR="00AA3B88">
        <w:rPr>
          <w:u w:val="single"/>
        </w:rPr>
        <w:t xml:space="preserve"> en </w:t>
      </w:r>
      <w:r w:rsidRPr="001225A5">
        <w:rPr>
          <w:u w:val="single"/>
        </w:rPr>
        <w:t xml:space="preserve">correcties nadat de accountant een verklaring heeft afgegeven bij de jaarrekening en deze is vastgesteld. Welke versie van de jaarrekening dient gebruikt te worden bij de verantwoording </w:t>
      </w:r>
      <w:r w:rsidR="007E776C" w:rsidRPr="001225A5">
        <w:rPr>
          <w:u w:val="single"/>
        </w:rPr>
        <w:t>BVOV</w:t>
      </w:r>
      <w:r w:rsidRPr="001225A5">
        <w:rPr>
          <w:u w:val="single"/>
        </w:rPr>
        <w:t>?</w:t>
      </w:r>
    </w:p>
    <w:p w14:paraId="28D43ACC" w14:textId="1F3F3D38" w:rsidR="0031563D" w:rsidRPr="00DD14D4" w:rsidRDefault="0031563D" w:rsidP="007B5DCE">
      <w:r w:rsidRPr="001225A5">
        <w:rPr>
          <w:u w:val="single"/>
        </w:rPr>
        <w:t>Toelichting:</w:t>
      </w:r>
      <w:r>
        <w:t xml:space="preserve"> Het afkapmoment voor verantwoording door de vervoerder is het einde van het betreffende </w:t>
      </w:r>
      <w:r w:rsidR="007E776C">
        <w:t>BVOV</w:t>
      </w:r>
      <w:r>
        <w:t xml:space="preserve">-jaar. Op basis van de dan bekende gegevens wordt een accountantsverklaring gevraagd en wordt de </w:t>
      </w:r>
      <w:r w:rsidR="007E776C">
        <w:t>BVOV</w:t>
      </w:r>
      <w:r>
        <w:t xml:space="preserve"> jaar t, uiteindelijk pas eind december het jaar t+</w:t>
      </w:r>
      <w:r w:rsidR="00985999">
        <w:t>2</w:t>
      </w:r>
      <w:r>
        <w:t xml:space="preserve"> definitief vastgesteld door IenW. Nagekomen posten (bijv. opbrengsten van abonnementen) rollen voor zover </w:t>
      </w:r>
      <w:r w:rsidR="00985999">
        <w:t xml:space="preserve">ze </w:t>
      </w:r>
      <w:r>
        <w:t xml:space="preserve">bekend </w:t>
      </w:r>
      <w:r w:rsidR="00985999">
        <w:t xml:space="preserve">zijn </w:t>
      </w:r>
      <w:r>
        <w:t xml:space="preserve">door in de </w:t>
      </w:r>
      <w:r w:rsidR="007E776C">
        <w:t>BVOV</w:t>
      </w:r>
      <w:r>
        <w:t xml:space="preserve"> van het jaar erop en nu in de </w:t>
      </w:r>
      <w:r w:rsidR="007E776C">
        <w:t>TVOV</w:t>
      </w:r>
      <w:r>
        <w:t xml:space="preserve"> van het jaar erop.</w:t>
      </w:r>
    </w:p>
    <w:p w14:paraId="57D928E1" w14:textId="2A21158A" w:rsidR="00F4347F" w:rsidRPr="00E41BF7" w:rsidRDefault="00E41BF7" w:rsidP="00F4347F">
      <w:pPr>
        <w:rPr>
          <w:b/>
          <w:bCs/>
        </w:rPr>
      </w:pPr>
      <w:r w:rsidRPr="00E41BF7">
        <w:rPr>
          <w:b/>
          <w:bCs/>
        </w:rPr>
        <w:t>Antwoord</w:t>
      </w:r>
    </w:p>
    <w:p w14:paraId="41023527" w14:textId="07F70B97" w:rsidR="00F4347F" w:rsidRPr="007F2E64" w:rsidRDefault="0031563D" w:rsidP="00F4347F">
      <w:r>
        <w:t xml:space="preserve">IenW gaat </w:t>
      </w:r>
      <w:r w:rsidR="00F4347F" w:rsidRPr="007F2E64">
        <w:t xml:space="preserve">ervan uit dat de vervoerders een onderbouwde systematiek hebben om te komen tot een zo nauwkeurig mogelijke inschatting van nagekomen posten (waaronder bijvoorbeeld de opbrengsten uit abonnementen). In het kader van de jaarrekeningcontrole zal de accountant deze beoordelen. Deze werkwijze gold voor corona en is in de </w:t>
      </w:r>
      <w:r w:rsidR="007E776C">
        <w:t>BVOV</w:t>
      </w:r>
      <w:r w:rsidR="00F4347F" w:rsidRPr="007F2E64">
        <w:t xml:space="preserve">-periode voortgezet. Zo wordt het matchingsprincipe zo goed mogelijk gevolgd. </w:t>
      </w:r>
    </w:p>
    <w:p w14:paraId="6C011DD7" w14:textId="3668DB02" w:rsidR="00F4347F" w:rsidRPr="007F2E64" w:rsidRDefault="00F4347F" w:rsidP="00F4347F">
      <w:r w:rsidRPr="007F2E64">
        <w:t xml:space="preserve">De </w:t>
      </w:r>
      <w:r w:rsidR="007E776C">
        <w:t>BVOV</w:t>
      </w:r>
      <w:r w:rsidRPr="007F2E64">
        <w:t xml:space="preserve">-verantwoording en de controleverklaring worden later afgegeven dan de verklaring bij de jaarrekening. Ook is er sprake is van een andere materialiteit. De accountant zal de inschatting van de nagekomen posten nog eens beoordelen en beoordelen of deze van materiële invloed zijn op </w:t>
      </w:r>
      <w:r w:rsidR="007E776C">
        <w:t>BVOV</w:t>
      </w:r>
      <w:r w:rsidRPr="007F2E64">
        <w:t xml:space="preserve">-verantwoording. </w:t>
      </w:r>
    </w:p>
    <w:p w14:paraId="6F0B5450" w14:textId="68B0176F" w:rsidR="00F4347F" w:rsidRPr="007F2E64" w:rsidRDefault="00F4347F" w:rsidP="00F4347F">
      <w:r w:rsidRPr="007F2E64">
        <w:t xml:space="preserve">Tot de datum van de verantwoording/controleverklaring van de </w:t>
      </w:r>
      <w:r w:rsidR="007E776C">
        <w:t>BVOV</w:t>
      </w:r>
      <w:r w:rsidRPr="007F2E64">
        <w:t xml:space="preserve"> is het punt van eventuele nagekomen posten afgedekt. De verantwoording wordt daarmee ‘definitief’ en daarna in de praktijk niet meer aangepast. Het is evenwel onvermijdelijk dat er soms sprake is van nagekomen posten (zowel positief als negatief). Dat er in enig jaar niet meer doorgeschoven kan worden naar een opvolgend jaar, is onderkend.</w:t>
      </w:r>
    </w:p>
    <w:p w14:paraId="6188179D" w14:textId="0A207CC6" w:rsidR="00F4347F" w:rsidRPr="007F2E64" w:rsidRDefault="00F4347F" w:rsidP="00F4347F">
      <w:r w:rsidRPr="007F2E64">
        <w:t xml:space="preserve">De DO’s hebben in hun </w:t>
      </w:r>
      <w:r w:rsidR="007E776C">
        <w:t>BVOV</w:t>
      </w:r>
      <w:r w:rsidRPr="007F2E64">
        <w:t xml:space="preserve">-beschikkingen richting de concessienemers, een termijn opgenomen voor het indienen van de </w:t>
      </w:r>
      <w:r w:rsidR="007E776C">
        <w:t>BVOV</w:t>
      </w:r>
      <w:r w:rsidRPr="007F2E64">
        <w:t xml:space="preserve">-verantwoording met controleverklaring. De DO’s kunnen deze termijn opschuiven zolang deze maar past in de planning voor de jaarrekening van de DO’s. Het is wellicht efficiënter om de controle van subsidieverantwoordingen kort na afloop van de periode en de jaarrekeningcontrole uit te voeren. Het is aan de DO’s en vervoerders om te bepalen of de toegenomen zekerheid opweegt tegen wellicht wat hogere controlekosten. IenW is hierin geen partij. </w:t>
      </w:r>
    </w:p>
    <w:p w14:paraId="037AA3DC" w14:textId="77777777" w:rsidR="007B5DCE" w:rsidRDefault="007B5DCE" w:rsidP="007B5DCE">
      <w:pPr>
        <w:spacing w:after="0" w:line="240" w:lineRule="auto"/>
        <w:rPr>
          <w:rFonts w:ascii="Calibri" w:eastAsia="Times New Roman" w:hAnsi="Calibri" w:cs="Calibri"/>
          <w:color w:val="000000"/>
          <w:lang w:eastAsia="nl-NL"/>
        </w:rPr>
      </w:pPr>
    </w:p>
    <w:p w14:paraId="272E9847" w14:textId="0872CF8E" w:rsidR="007B5DCE" w:rsidRPr="007B5DCE" w:rsidRDefault="007B5DCE" w:rsidP="007B5DCE">
      <w:pPr>
        <w:spacing w:after="0" w:line="240" w:lineRule="auto"/>
        <w:rPr>
          <w:rFonts w:ascii="Calibri" w:eastAsia="Times New Roman" w:hAnsi="Calibri" w:cs="Calibri"/>
          <w:b/>
          <w:bCs/>
          <w:color w:val="000000"/>
          <w:lang w:eastAsia="nl-NL"/>
        </w:rPr>
      </w:pPr>
      <w:r w:rsidRPr="007B5DCE">
        <w:rPr>
          <w:rFonts w:ascii="Calibri" w:eastAsia="Times New Roman" w:hAnsi="Calibri" w:cs="Calibri"/>
          <w:b/>
          <w:bCs/>
          <w:color w:val="000000"/>
          <w:lang w:eastAsia="nl-NL"/>
        </w:rPr>
        <w:t>Vraag</w:t>
      </w:r>
      <w:r w:rsidR="00DB0DCD">
        <w:rPr>
          <w:rFonts w:ascii="Calibri" w:eastAsia="Times New Roman" w:hAnsi="Calibri" w:cs="Calibri"/>
          <w:b/>
          <w:bCs/>
          <w:color w:val="000000"/>
          <w:lang w:eastAsia="nl-NL"/>
        </w:rPr>
        <w:t xml:space="preserve"> </w:t>
      </w:r>
      <w:r w:rsidR="00A9222A">
        <w:rPr>
          <w:rFonts w:ascii="Calibri" w:eastAsia="Times New Roman" w:hAnsi="Calibri" w:cs="Calibri"/>
          <w:b/>
          <w:bCs/>
          <w:color w:val="000000"/>
          <w:lang w:eastAsia="nl-NL"/>
        </w:rPr>
        <w:t>7</w:t>
      </w:r>
      <w:r w:rsidR="001C0F29">
        <w:rPr>
          <w:rFonts w:ascii="Calibri" w:eastAsia="Times New Roman" w:hAnsi="Calibri" w:cs="Calibri"/>
          <w:b/>
          <w:bCs/>
          <w:color w:val="000000"/>
          <w:lang w:eastAsia="nl-NL"/>
        </w:rPr>
        <w:t>.</w:t>
      </w:r>
      <w:r w:rsidR="00A9222A">
        <w:rPr>
          <w:rFonts w:ascii="Calibri" w:eastAsia="Times New Roman" w:hAnsi="Calibri" w:cs="Calibri"/>
          <w:b/>
          <w:bCs/>
          <w:color w:val="000000"/>
          <w:lang w:eastAsia="nl-NL"/>
        </w:rPr>
        <w:t xml:space="preserve"> </w:t>
      </w:r>
      <w:r w:rsidR="00DD14D4">
        <w:rPr>
          <w:rFonts w:ascii="Calibri" w:eastAsia="Times New Roman" w:hAnsi="Calibri" w:cs="Calibri"/>
          <w:b/>
          <w:bCs/>
          <w:color w:val="000000"/>
          <w:lang w:eastAsia="nl-NL"/>
        </w:rPr>
        <w:t>Kosten pre-pensioenregeling RET</w:t>
      </w:r>
    </w:p>
    <w:p w14:paraId="4D9994D8" w14:textId="175E214D" w:rsidR="007B5DCE" w:rsidRPr="00605C25" w:rsidRDefault="007B5DCE" w:rsidP="007B5DCE">
      <w:pPr>
        <w:spacing w:after="0" w:line="240" w:lineRule="auto"/>
        <w:rPr>
          <w:rFonts w:ascii="Calibri" w:eastAsia="Times New Roman" w:hAnsi="Calibri" w:cs="Calibri"/>
          <w:color w:val="000000"/>
          <w:u w:val="single"/>
          <w:lang w:eastAsia="nl-NL"/>
        </w:rPr>
      </w:pPr>
      <w:r w:rsidRPr="00605C25">
        <w:rPr>
          <w:rFonts w:ascii="Calibri" w:eastAsia="Times New Roman" w:hAnsi="Calibri" w:cs="Calibri"/>
          <w:color w:val="000000"/>
          <w:u w:val="single"/>
          <w:lang w:eastAsia="nl-NL"/>
        </w:rPr>
        <w:t xml:space="preserve">Kan de bijdrage van RET aan de pre-pensioenregeling in 2021, in de berekeningsgrondslag van de </w:t>
      </w:r>
      <w:r w:rsidR="007E776C" w:rsidRPr="00605C25">
        <w:rPr>
          <w:rFonts w:ascii="Calibri" w:eastAsia="Times New Roman" w:hAnsi="Calibri" w:cs="Calibri"/>
          <w:color w:val="000000"/>
          <w:u w:val="single"/>
          <w:lang w:eastAsia="nl-NL"/>
        </w:rPr>
        <w:t>BVOV</w:t>
      </w:r>
      <w:r w:rsidRPr="00605C25">
        <w:rPr>
          <w:rFonts w:ascii="Calibri" w:eastAsia="Times New Roman" w:hAnsi="Calibri" w:cs="Calibri"/>
          <w:color w:val="000000"/>
          <w:u w:val="single"/>
          <w:lang w:eastAsia="nl-NL"/>
        </w:rPr>
        <w:t xml:space="preserve"> worden meegenomen?</w:t>
      </w:r>
    </w:p>
    <w:p w14:paraId="08E75512" w14:textId="77777777" w:rsidR="007B5DCE" w:rsidRDefault="007B5DCE" w:rsidP="007B5DCE">
      <w:pPr>
        <w:rPr>
          <w:b/>
          <w:bCs/>
        </w:rPr>
      </w:pPr>
    </w:p>
    <w:p w14:paraId="6D16AFB7" w14:textId="5A49C0FC" w:rsidR="007B5DCE" w:rsidRDefault="007B5DCE" w:rsidP="007B5DCE">
      <w:pPr>
        <w:rPr>
          <w:b/>
          <w:bCs/>
        </w:rPr>
      </w:pPr>
      <w:r>
        <w:rPr>
          <w:b/>
          <w:bCs/>
        </w:rPr>
        <w:t>Antwoord</w:t>
      </w:r>
    </w:p>
    <w:p w14:paraId="08626707" w14:textId="11BEFF7E" w:rsidR="00AB58C8" w:rsidRDefault="007B5DCE" w:rsidP="003D3C17">
      <w:pPr>
        <w:spacing w:after="0" w:line="240" w:lineRule="auto"/>
        <w:rPr>
          <w:rFonts w:ascii="Calibri" w:eastAsia="Times New Roman" w:hAnsi="Calibri" w:cs="Calibri"/>
          <w:color w:val="000000"/>
          <w:lang w:eastAsia="nl-NL"/>
        </w:rPr>
      </w:pPr>
      <w:r w:rsidRPr="007B5DCE">
        <w:rPr>
          <w:rFonts w:ascii="Calibri" w:eastAsia="Times New Roman" w:hAnsi="Calibri" w:cs="Calibri"/>
          <w:color w:val="000000"/>
          <w:lang w:eastAsia="nl-NL"/>
        </w:rPr>
        <w:t xml:space="preserve">Nee, want de </w:t>
      </w:r>
      <w:r w:rsidR="007E776C">
        <w:rPr>
          <w:rFonts w:ascii="Calibri" w:eastAsia="Times New Roman" w:hAnsi="Calibri" w:cs="Calibri"/>
          <w:color w:val="000000"/>
          <w:lang w:eastAsia="nl-NL"/>
        </w:rPr>
        <w:t>BVOV</w:t>
      </w:r>
      <w:r w:rsidRPr="007B5DCE">
        <w:rPr>
          <w:rFonts w:ascii="Calibri" w:eastAsia="Times New Roman" w:hAnsi="Calibri" w:cs="Calibri"/>
          <w:color w:val="000000"/>
          <w:lang w:eastAsia="nl-NL"/>
        </w:rPr>
        <w:t xml:space="preserve"> is o.a. gebaseerd op de geïndexeerde referentiekosten 2019. De feitelijke kosten </w:t>
      </w:r>
      <w:r w:rsidR="003721D5">
        <w:rPr>
          <w:rFonts w:ascii="Calibri" w:eastAsia="Times New Roman" w:hAnsi="Calibri" w:cs="Calibri"/>
          <w:color w:val="000000"/>
          <w:lang w:eastAsia="nl-NL"/>
        </w:rPr>
        <w:t xml:space="preserve">in </w:t>
      </w:r>
      <w:r w:rsidRPr="007B5DCE">
        <w:rPr>
          <w:rFonts w:ascii="Calibri" w:eastAsia="Times New Roman" w:hAnsi="Calibri" w:cs="Calibri"/>
          <w:color w:val="000000"/>
          <w:lang w:eastAsia="nl-NL"/>
        </w:rPr>
        <w:t>2021 spelen alleen een rol bij de rendement</w:t>
      </w:r>
      <w:r w:rsidR="003721D5">
        <w:rPr>
          <w:rFonts w:ascii="Calibri" w:eastAsia="Times New Roman" w:hAnsi="Calibri" w:cs="Calibri"/>
          <w:color w:val="000000"/>
          <w:lang w:eastAsia="nl-NL"/>
        </w:rPr>
        <w:t>stoets</w:t>
      </w:r>
      <w:r w:rsidRPr="007B5DCE">
        <w:rPr>
          <w:rFonts w:ascii="Calibri" w:eastAsia="Times New Roman" w:hAnsi="Calibri" w:cs="Calibri"/>
          <w:color w:val="000000"/>
          <w:lang w:eastAsia="nl-NL"/>
        </w:rPr>
        <w:t>.</w:t>
      </w:r>
      <w:r w:rsidR="00605C25">
        <w:rPr>
          <w:rFonts w:ascii="Calibri" w:eastAsia="Times New Roman" w:hAnsi="Calibri" w:cs="Calibri"/>
          <w:color w:val="000000"/>
          <w:lang w:eastAsia="nl-NL"/>
        </w:rPr>
        <w:t xml:space="preserve"> </w:t>
      </w:r>
      <w:r w:rsidRPr="007B5DCE">
        <w:rPr>
          <w:rFonts w:ascii="Calibri" w:eastAsia="Times New Roman" w:hAnsi="Calibri" w:cs="Calibri"/>
          <w:color w:val="000000"/>
          <w:lang w:eastAsia="nl-NL"/>
        </w:rPr>
        <w:t>De hogere kosten</w:t>
      </w:r>
      <w:r w:rsidR="003721D5">
        <w:rPr>
          <w:rFonts w:ascii="Calibri" w:eastAsia="Times New Roman" w:hAnsi="Calibri" w:cs="Calibri"/>
          <w:color w:val="000000"/>
          <w:lang w:eastAsia="nl-NL"/>
        </w:rPr>
        <w:t xml:space="preserve"> in</w:t>
      </w:r>
      <w:r w:rsidRPr="007B5DCE">
        <w:rPr>
          <w:rFonts w:ascii="Calibri" w:eastAsia="Times New Roman" w:hAnsi="Calibri" w:cs="Calibri"/>
          <w:color w:val="000000"/>
          <w:lang w:eastAsia="nl-NL"/>
        </w:rPr>
        <w:t xml:space="preserve"> 2021 kunnen echter wel worden gefinancierd door verder afschalen mits daar met toestemming van de concessieverlener ruimte voor is. Mocht dat niet zo zijn dan is er nog de toezegging van de concessieverlener dat het concessieresultaat in 2021 break-even gemaakt zal worden middels een eenmalige aanvullende uitkering.</w:t>
      </w:r>
    </w:p>
    <w:p w14:paraId="3A15099D" w14:textId="77777777" w:rsidR="002F18D3" w:rsidRDefault="002F18D3" w:rsidP="001468FC">
      <w:pPr>
        <w:rPr>
          <w:b/>
          <w:bCs/>
        </w:rPr>
      </w:pPr>
    </w:p>
    <w:p w14:paraId="29B1A830" w14:textId="37911E1A" w:rsidR="001468FC" w:rsidRDefault="001468FC" w:rsidP="001468FC">
      <w:pPr>
        <w:rPr>
          <w:b/>
          <w:bCs/>
        </w:rPr>
      </w:pPr>
      <w:r w:rsidRPr="001468FC">
        <w:rPr>
          <w:b/>
          <w:bCs/>
        </w:rPr>
        <w:t>Vraag</w:t>
      </w:r>
      <w:r>
        <w:rPr>
          <w:b/>
          <w:bCs/>
        </w:rPr>
        <w:t xml:space="preserve"> </w:t>
      </w:r>
      <w:r w:rsidR="00A9222A">
        <w:rPr>
          <w:b/>
          <w:bCs/>
        </w:rPr>
        <w:t>8</w:t>
      </w:r>
      <w:r w:rsidR="001C0F29">
        <w:rPr>
          <w:b/>
          <w:bCs/>
        </w:rPr>
        <w:t>.</w:t>
      </w:r>
      <w:r w:rsidR="00FC450C">
        <w:rPr>
          <w:b/>
          <w:bCs/>
        </w:rPr>
        <w:t xml:space="preserve"> Afschaling bij </w:t>
      </w:r>
      <w:r w:rsidR="007E776C">
        <w:rPr>
          <w:b/>
          <w:bCs/>
        </w:rPr>
        <w:t>TVOV</w:t>
      </w:r>
      <w:r w:rsidR="00FC450C">
        <w:rPr>
          <w:b/>
          <w:bCs/>
        </w:rPr>
        <w:t xml:space="preserve"> 2023</w:t>
      </w:r>
    </w:p>
    <w:p w14:paraId="12A1B7D8" w14:textId="33B841AC" w:rsidR="001468FC" w:rsidRPr="004E027F" w:rsidRDefault="001468FC" w:rsidP="001468FC">
      <w:pPr>
        <w:rPr>
          <w:u w:val="single"/>
        </w:rPr>
      </w:pPr>
      <w:r w:rsidRPr="004E027F">
        <w:rPr>
          <w:u w:val="single"/>
        </w:rPr>
        <w:t>Is afschaling toegestaan bij gebruik</w:t>
      </w:r>
      <w:r w:rsidR="00F645AD" w:rsidRPr="004E027F">
        <w:rPr>
          <w:u w:val="single"/>
        </w:rPr>
        <w:t xml:space="preserve"> van de </w:t>
      </w:r>
      <w:r w:rsidR="007E776C">
        <w:rPr>
          <w:u w:val="single"/>
        </w:rPr>
        <w:t>TVOV</w:t>
      </w:r>
      <w:r w:rsidRPr="004E027F">
        <w:rPr>
          <w:u w:val="single"/>
        </w:rPr>
        <w:t xml:space="preserve"> 2023?  </w:t>
      </w:r>
    </w:p>
    <w:p w14:paraId="3901B366" w14:textId="77777777" w:rsidR="001468FC" w:rsidRPr="001468FC" w:rsidRDefault="001468FC" w:rsidP="001468FC">
      <w:pPr>
        <w:rPr>
          <w:b/>
          <w:bCs/>
        </w:rPr>
      </w:pPr>
      <w:r w:rsidRPr="001468FC">
        <w:rPr>
          <w:b/>
          <w:bCs/>
        </w:rPr>
        <w:t xml:space="preserve">Antwoord: </w:t>
      </w:r>
    </w:p>
    <w:p w14:paraId="47A2F31F" w14:textId="579D5E68" w:rsidR="005848E0" w:rsidRDefault="001468FC" w:rsidP="00275853">
      <w:r>
        <w:t xml:space="preserve">Dit is de verantwoordelijkheid van de concessieverlener. De </w:t>
      </w:r>
      <w:r w:rsidR="007E776C">
        <w:t>TVOV</w:t>
      </w:r>
      <w:r>
        <w:t xml:space="preserve"> </w:t>
      </w:r>
      <w:r w:rsidR="00F645AD">
        <w:t>stelt</w:t>
      </w:r>
      <w:r>
        <w:t xml:space="preserve"> geen kwantitatieve eis aan het aanbod, maar de concessieverlener moet wel een verklaring afgeven dat er in 2023 sprake is geweest van v</w:t>
      </w:r>
      <w:r w:rsidRPr="00F907A3">
        <w:t>oldoende</w:t>
      </w:r>
      <w:r>
        <w:t xml:space="preserve"> betrouwbaar en veilig OV. Concessieverleners moeten ook een plan indienen, uiterlijk 1 april ‘23 waarin aannemelijk wordt gemaakt dat in 2024 de kosten en baten in evenwicht zijn gekomen. Het plan moet zekerheid bieden dat in 2024 niet opnieuw een rijksbijdrage nodig is en dat we terugkeren naar de normale verhoudingen in het OV.</w:t>
      </w:r>
    </w:p>
    <w:p w14:paraId="2DEDAB08" w14:textId="77777777" w:rsidR="003057A7" w:rsidRDefault="003057A7" w:rsidP="00275853">
      <w:pPr>
        <w:rPr>
          <w:b/>
          <w:bCs/>
        </w:rPr>
      </w:pPr>
    </w:p>
    <w:p w14:paraId="4CED2243" w14:textId="553CA908" w:rsidR="00FC450C" w:rsidRPr="002D3031" w:rsidRDefault="00A12AAA" w:rsidP="00275853">
      <w:pPr>
        <w:rPr>
          <w:u w:val="single"/>
        </w:rPr>
      </w:pPr>
      <w:r w:rsidRPr="00DD22D1">
        <w:rPr>
          <w:b/>
          <w:bCs/>
        </w:rPr>
        <w:t>Vraag</w:t>
      </w:r>
      <w:r w:rsidR="00DD22D1">
        <w:rPr>
          <w:b/>
          <w:bCs/>
        </w:rPr>
        <w:t xml:space="preserve"> </w:t>
      </w:r>
      <w:r w:rsidR="00A9222A">
        <w:rPr>
          <w:b/>
          <w:bCs/>
        </w:rPr>
        <w:t>9</w:t>
      </w:r>
      <w:r w:rsidR="001C0F29">
        <w:rPr>
          <w:b/>
          <w:bCs/>
        </w:rPr>
        <w:t>.</w:t>
      </w:r>
      <w:r w:rsidR="00FC450C">
        <w:rPr>
          <w:b/>
          <w:bCs/>
        </w:rPr>
        <w:t xml:space="preserve"> </w:t>
      </w:r>
      <w:r w:rsidR="00DD22D1">
        <w:rPr>
          <w:b/>
          <w:bCs/>
        </w:rPr>
        <w:t>SiSa verantwoording</w:t>
      </w:r>
      <w:r w:rsidR="00FC450C">
        <w:rPr>
          <w:b/>
          <w:bCs/>
        </w:rPr>
        <w:t xml:space="preserve"> en concurrentiegevoelige informatie</w:t>
      </w:r>
      <w:r w:rsidRPr="00DD22D1">
        <w:rPr>
          <w:b/>
          <w:bCs/>
        </w:rPr>
        <w:br/>
      </w:r>
      <w:r w:rsidR="002D3031" w:rsidRPr="002D3031">
        <w:rPr>
          <w:u w:val="single"/>
        </w:rPr>
        <w:t xml:space="preserve">Op welke wijze kan de SiSa-verantwoording worden </w:t>
      </w:r>
      <w:r w:rsidR="00EF4F6A">
        <w:rPr>
          <w:u w:val="single"/>
        </w:rPr>
        <w:t>vormgeven</w:t>
      </w:r>
      <w:r w:rsidR="002D3031" w:rsidRPr="002D3031">
        <w:rPr>
          <w:u w:val="single"/>
        </w:rPr>
        <w:t xml:space="preserve">, zonder dat specifieke concurrentiegevoelige </w:t>
      </w:r>
      <w:r w:rsidR="00CF67CD">
        <w:rPr>
          <w:u w:val="single"/>
        </w:rPr>
        <w:t xml:space="preserve">informatie </w:t>
      </w:r>
      <w:r w:rsidR="002D3031" w:rsidRPr="002D3031">
        <w:rPr>
          <w:u w:val="single"/>
        </w:rPr>
        <w:t xml:space="preserve">per concessie wordt gedeeld? </w:t>
      </w:r>
    </w:p>
    <w:p w14:paraId="7BF484D2" w14:textId="5D00AE5D" w:rsidR="00FC450C" w:rsidRDefault="00FC450C" w:rsidP="00FC450C">
      <w:pPr>
        <w:spacing w:after="0" w:line="240" w:lineRule="auto"/>
        <w:rPr>
          <w:rFonts w:ascii="Calibri" w:eastAsia="Calibri" w:hAnsi="Calibri" w:cs="Calibri"/>
          <w:b/>
          <w:bCs/>
          <w:lang w:eastAsia="nl-NL"/>
        </w:rPr>
      </w:pPr>
      <w:r>
        <w:rPr>
          <w:rFonts w:ascii="Calibri" w:eastAsia="Calibri" w:hAnsi="Calibri" w:cs="Calibri"/>
          <w:b/>
          <w:bCs/>
          <w:lang w:eastAsia="nl-NL"/>
        </w:rPr>
        <w:t>Antwoord:</w:t>
      </w:r>
    </w:p>
    <w:p w14:paraId="39DD3990" w14:textId="4BCA59B0" w:rsidR="00B06C56" w:rsidRDefault="00607D4B" w:rsidP="00607D4B">
      <w:pPr>
        <w:spacing w:after="0" w:line="240" w:lineRule="auto"/>
        <w:rPr>
          <w:rFonts w:ascii="Calibri" w:eastAsia="Calibri" w:hAnsi="Calibri" w:cs="Calibri"/>
          <w:lang w:eastAsia="nl-NL"/>
        </w:rPr>
      </w:pPr>
      <w:r w:rsidRPr="00A46F6E">
        <w:rPr>
          <w:rFonts w:ascii="Calibri" w:eastAsia="Calibri" w:hAnsi="Calibri" w:cs="Calibri"/>
          <w:lang w:eastAsia="nl-NL"/>
        </w:rPr>
        <w:t xml:space="preserve">Om te voorkomen dat concurrentiegevoelige informatie beschikbaar komt, </w:t>
      </w:r>
      <w:r>
        <w:rPr>
          <w:rFonts w:ascii="Calibri" w:eastAsia="Calibri" w:hAnsi="Calibri" w:cs="Calibri"/>
          <w:lang w:eastAsia="nl-NL"/>
        </w:rPr>
        <w:t>vinden DO’s en vervoerders</w:t>
      </w:r>
      <w:r w:rsidRPr="00A46F6E">
        <w:rPr>
          <w:rFonts w:ascii="Calibri" w:eastAsia="Calibri" w:hAnsi="Calibri" w:cs="Calibri"/>
          <w:lang w:eastAsia="nl-NL"/>
        </w:rPr>
        <w:t xml:space="preserve"> het onwenselijk om specifieke data op het detailniveau van concessies te vermelden in het jaarverslag van de decentrale overheid</w:t>
      </w:r>
      <w:r>
        <w:rPr>
          <w:rFonts w:ascii="Calibri" w:eastAsia="Calibri" w:hAnsi="Calibri" w:cs="Calibri"/>
          <w:lang w:eastAsia="nl-NL"/>
        </w:rPr>
        <w:t xml:space="preserve">; dit is immers </w:t>
      </w:r>
      <w:r w:rsidRPr="00A46F6E">
        <w:rPr>
          <w:rFonts w:ascii="Calibri" w:eastAsia="Calibri" w:hAnsi="Calibri" w:cs="Calibri"/>
          <w:lang w:eastAsia="nl-NL"/>
        </w:rPr>
        <w:t xml:space="preserve">publiekelijk beschikbaar. </w:t>
      </w:r>
      <w:r>
        <w:rPr>
          <w:rFonts w:ascii="Calibri" w:eastAsia="Calibri" w:hAnsi="Calibri" w:cs="Calibri"/>
          <w:lang w:eastAsia="nl-NL"/>
        </w:rPr>
        <w:t xml:space="preserve">Daarom is in de Werkgroep Verantwoording </w:t>
      </w:r>
      <w:r w:rsidR="007E776C">
        <w:rPr>
          <w:rFonts w:ascii="Calibri" w:eastAsia="Calibri" w:hAnsi="Calibri" w:cs="Calibri"/>
          <w:lang w:eastAsia="nl-NL"/>
        </w:rPr>
        <w:t>BVOV</w:t>
      </w:r>
      <w:r>
        <w:rPr>
          <w:rFonts w:ascii="Calibri" w:eastAsia="Calibri" w:hAnsi="Calibri" w:cs="Calibri"/>
          <w:lang w:eastAsia="nl-NL"/>
        </w:rPr>
        <w:t>/</w:t>
      </w:r>
      <w:r w:rsidR="007E776C">
        <w:rPr>
          <w:rFonts w:ascii="Calibri" w:eastAsia="Calibri" w:hAnsi="Calibri" w:cs="Calibri"/>
          <w:lang w:eastAsia="nl-NL"/>
        </w:rPr>
        <w:t>TVOV</w:t>
      </w:r>
      <w:r>
        <w:rPr>
          <w:rFonts w:ascii="Calibri" w:eastAsia="Calibri" w:hAnsi="Calibri" w:cs="Calibri"/>
          <w:lang w:eastAsia="nl-NL"/>
        </w:rPr>
        <w:t xml:space="preserve"> tussen de decentrale overheden en vervoerders de volgende procedure en op te nemen tekst afgesproken</w:t>
      </w:r>
      <w:r w:rsidR="00B06C56">
        <w:rPr>
          <w:rFonts w:ascii="Calibri" w:eastAsia="Calibri" w:hAnsi="Calibri" w:cs="Calibri"/>
          <w:lang w:eastAsia="nl-NL"/>
        </w:rPr>
        <w:t xml:space="preserve"> (zie verder).</w:t>
      </w:r>
    </w:p>
    <w:p w14:paraId="5AD20ACC" w14:textId="77777777" w:rsidR="00B06C56" w:rsidRDefault="00B06C56" w:rsidP="00607D4B">
      <w:pPr>
        <w:spacing w:after="0" w:line="240" w:lineRule="auto"/>
        <w:rPr>
          <w:rFonts w:ascii="Calibri" w:eastAsia="Calibri" w:hAnsi="Calibri" w:cs="Calibri"/>
          <w:lang w:eastAsia="nl-NL"/>
        </w:rPr>
      </w:pPr>
    </w:p>
    <w:p w14:paraId="3A1E6E21" w14:textId="2AAB0753" w:rsidR="00607D4B" w:rsidRDefault="00607D4B" w:rsidP="00607D4B">
      <w:pPr>
        <w:spacing w:after="0" w:line="240" w:lineRule="auto"/>
      </w:pPr>
      <w:r>
        <w:t xml:space="preserve">Door een misverstand bij Bzk is deze niet opgenomen in de SiSa-invulwijzer 2022. In de SiSa-verantwoording 2023 heeft Bzk besloten geen tekst op te nemen. Bij de verantwoording </w:t>
      </w:r>
      <w:r w:rsidR="007E776C">
        <w:t>BVOV</w:t>
      </w:r>
      <w:r>
        <w:t xml:space="preserve"> 2020 en 2021 via SiSa is inmiddels vastgesteld dat accountants van DO’s, voor zover bij IenW bekend, geen bezwaar hadden tegen deze werkwijze. </w:t>
      </w:r>
      <w:r>
        <w:rPr>
          <w:rFonts w:ascii="Calibri" w:eastAsia="Calibri" w:hAnsi="Calibri" w:cs="Calibri"/>
          <w:lang w:eastAsia="nl-NL"/>
        </w:rPr>
        <w:t xml:space="preserve">De wijze waarop hiermee wordt omgegaan is de verantwoordelijkheid van de decentrale overheid; IenW is hierin geen partij. </w:t>
      </w:r>
    </w:p>
    <w:p w14:paraId="2717B712" w14:textId="77777777" w:rsidR="00607D4B" w:rsidRDefault="00607D4B" w:rsidP="00FC450C">
      <w:pPr>
        <w:spacing w:after="0" w:line="240" w:lineRule="auto"/>
        <w:rPr>
          <w:rFonts w:ascii="Calibri" w:eastAsia="Calibri" w:hAnsi="Calibri" w:cs="Calibri"/>
          <w:b/>
          <w:bCs/>
          <w:lang w:eastAsia="nl-NL"/>
        </w:rPr>
      </w:pPr>
    </w:p>
    <w:p w14:paraId="1F90602C" w14:textId="31A2C5C7" w:rsidR="00B95D35" w:rsidRDefault="009C492C" w:rsidP="00B95D35">
      <w:pPr>
        <w:spacing w:after="0" w:line="240" w:lineRule="auto"/>
        <w:rPr>
          <w:rFonts w:ascii="Calibri" w:eastAsia="Calibri" w:hAnsi="Calibri" w:cs="Calibri"/>
          <w:lang w:eastAsia="nl-NL"/>
        </w:rPr>
      </w:pPr>
      <w:r>
        <w:rPr>
          <w:rFonts w:ascii="Calibri" w:eastAsia="Calibri" w:hAnsi="Calibri" w:cs="Calibri"/>
          <w:lang w:eastAsia="nl-NL"/>
        </w:rPr>
        <w:t xml:space="preserve">De volgende </w:t>
      </w:r>
      <w:r w:rsidR="00B06C56">
        <w:rPr>
          <w:rFonts w:ascii="Calibri" w:eastAsia="Calibri" w:hAnsi="Calibri" w:cs="Calibri"/>
          <w:lang w:eastAsia="nl-NL"/>
        </w:rPr>
        <w:t>procedure en op te nemen tekst kan worden gehanteerd:</w:t>
      </w:r>
    </w:p>
    <w:p w14:paraId="00C62F83" w14:textId="28678F87" w:rsidR="00B95D35" w:rsidRDefault="00B95D35" w:rsidP="00B95D35">
      <w:pPr>
        <w:spacing w:after="0" w:line="240" w:lineRule="auto"/>
        <w:rPr>
          <w:rFonts w:ascii="Calibri" w:eastAsia="Calibri" w:hAnsi="Calibri" w:cs="Calibri"/>
          <w:lang w:eastAsia="nl-NL"/>
        </w:rPr>
      </w:pPr>
      <w:r>
        <w:rPr>
          <w:rFonts w:ascii="Calibri" w:eastAsia="Calibri" w:hAnsi="Calibri" w:cs="Calibri"/>
          <w:lang w:eastAsia="nl-NL"/>
        </w:rPr>
        <w:t>1. O</w:t>
      </w:r>
      <w:r w:rsidRPr="00A46F6E">
        <w:rPr>
          <w:rFonts w:ascii="Calibri" w:eastAsia="Calibri" w:hAnsi="Calibri" w:cs="Calibri"/>
          <w:lang w:eastAsia="nl-NL"/>
        </w:rPr>
        <w:t xml:space="preserve">m te voorkomen dat concurrentiegevoelige informatie beschikbaar komt, </w:t>
      </w:r>
      <w:r>
        <w:rPr>
          <w:rFonts w:ascii="Calibri" w:eastAsia="Calibri" w:hAnsi="Calibri" w:cs="Calibri"/>
          <w:lang w:eastAsia="nl-NL"/>
        </w:rPr>
        <w:t>neemt d</w:t>
      </w:r>
      <w:r w:rsidRPr="00A46F6E">
        <w:rPr>
          <w:rFonts w:ascii="Calibri" w:eastAsia="Calibri" w:hAnsi="Calibri" w:cs="Calibri"/>
          <w:lang w:eastAsia="nl-NL"/>
        </w:rPr>
        <w:t xml:space="preserve">e decentrale overheid in haar jaarverslag op dat SISA gegevens voor de </w:t>
      </w:r>
      <w:r w:rsidRPr="00C51E63">
        <w:rPr>
          <w:rFonts w:ascii="Calibri" w:eastAsia="Calibri" w:hAnsi="Calibri" w:cs="Calibri"/>
          <w:lang w:eastAsia="nl-NL"/>
        </w:rPr>
        <w:t>Regeling specifieke uitkering transitievergoeding regionale OV-concessies 2023</w:t>
      </w:r>
      <w:r w:rsidRPr="00A46F6E">
        <w:rPr>
          <w:rFonts w:ascii="Calibri" w:eastAsia="Calibri" w:hAnsi="Calibri" w:cs="Calibri"/>
          <w:lang w:eastAsia="nl-NL"/>
        </w:rPr>
        <w:t>, niet per concessie, maar getotaliseerd word</w:t>
      </w:r>
      <w:r w:rsidR="005673E7">
        <w:rPr>
          <w:rFonts w:ascii="Calibri" w:eastAsia="Calibri" w:hAnsi="Calibri" w:cs="Calibri"/>
          <w:lang w:eastAsia="nl-NL"/>
        </w:rPr>
        <w:t>en</w:t>
      </w:r>
      <w:r w:rsidRPr="00A46F6E">
        <w:rPr>
          <w:rFonts w:ascii="Calibri" w:eastAsia="Calibri" w:hAnsi="Calibri" w:cs="Calibri"/>
          <w:lang w:eastAsia="nl-NL"/>
        </w:rPr>
        <w:t xml:space="preserve"> vermeld. Indien een decentrale overheid slechts rapporteert over één concessie, worden de SiSa indicatoren in de SiSa-bijlage in het jaarverslag niet ingevuld. Overigens laat dit onverlet dat de jaarrekeningcontrole die tevens de SiSa-bijlage bij de jaarrekening van de DO omvat, ook de niet (volledig) vermelde indicatoren) betreft.</w:t>
      </w:r>
    </w:p>
    <w:p w14:paraId="4E19588E" w14:textId="77777777" w:rsidR="00B95D35" w:rsidRDefault="00B95D35" w:rsidP="00B95D35">
      <w:pPr>
        <w:spacing w:after="0" w:line="240" w:lineRule="auto"/>
        <w:rPr>
          <w:rFonts w:ascii="Calibri" w:eastAsia="Calibri" w:hAnsi="Calibri" w:cs="Calibri"/>
          <w:lang w:eastAsia="nl-NL"/>
        </w:rPr>
      </w:pPr>
    </w:p>
    <w:p w14:paraId="3D67209F" w14:textId="77777777" w:rsidR="00B95D35" w:rsidRDefault="00B95D35" w:rsidP="00B95D35">
      <w:pPr>
        <w:spacing w:after="0" w:line="240" w:lineRule="auto"/>
        <w:rPr>
          <w:rFonts w:ascii="Calibri" w:eastAsia="Calibri" w:hAnsi="Calibri" w:cs="Calibri"/>
          <w:lang w:eastAsia="nl-NL"/>
        </w:rPr>
      </w:pPr>
      <w:r w:rsidRPr="002C5BFC">
        <w:rPr>
          <w:rFonts w:ascii="Calibri" w:eastAsia="Calibri" w:hAnsi="Calibri" w:cs="Calibri"/>
          <w:lang w:eastAsia="nl-NL"/>
        </w:rPr>
        <w:t xml:space="preserve">2. De decentrale overheid levert de gegevens op concessieniveau via het CBS aan door middel van het excelbestand Sisa-bijlage verantwoordingsinformatie </w:t>
      </w:r>
      <w:r>
        <w:rPr>
          <w:rFonts w:ascii="Calibri" w:eastAsia="Calibri" w:hAnsi="Calibri" w:cs="Calibri"/>
          <w:lang w:eastAsia="nl-NL"/>
        </w:rPr>
        <w:t>2024</w:t>
      </w:r>
      <w:r w:rsidRPr="002C5BFC">
        <w:rPr>
          <w:rFonts w:ascii="Calibri" w:eastAsia="Calibri" w:hAnsi="Calibri" w:cs="Calibri"/>
          <w:lang w:eastAsia="nl-NL"/>
        </w:rPr>
        <w:t xml:space="preserve"> aan IenW zodat IenW de specifieke uitkering kan vaststellen;</w:t>
      </w:r>
    </w:p>
    <w:p w14:paraId="385B3B52" w14:textId="77777777" w:rsidR="00B95D35" w:rsidRPr="002C5BFC" w:rsidRDefault="00B95D35" w:rsidP="00B95D35">
      <w:pPr>
        <w:spacing w:after="0" w:line="240" w:lineRule="auto"/>
        <w:rPr>
          <w:rFonts w:ascii="Calibri" w:eastAsia="Calibri" w:hAnsi="Calibri" w:cs="Calibri"/>
          <w:lang w:eastAsia="nl-NL"/>
        </w:rPr>
      </w:pPr>
    </w:p>
    <w:p w14:paraId="1EFF7E2D" w14:textId="77777777" w:rsidR="00B95D35" w:rsidRPr="002C5BFC" w:rsidRDefault="00B95D35" w:rsidP="00B95D35">
      <w:pPr>
        <w:spacing w:after="0" w:line="240" w:lineRule="auto"/>
        <w:rPr>
          <w:rFonts w:ascii="Calibri" w:eastAsia="Calibri" w:hAnsi="Calibri" w:cs="Calibri"/>
          <w:lang w:eastAsia="nl-NL"/>
        </w:rPr>
      </w:pPr>
      <w:r w:rsidRPr="002C5BFC">
        <w:rPr>
          <w:rFonts w:ascii="Calibri" w:eastAsia="Calibri" w:hAnsi="Calibri" w:cs="Calibri"/>
          <w:lang w:eastAsia="nl-NL"/>
        </w:rPr>
        <w:t>3. De decentrale overheid neemt in de aanbiedingsbrief behorend bij de SiSa-bijlage verantwoordingsinformatie en in de provinciale jaarrekening bij de SiSa-bijlage de volgende tekst op:</w:t>
      </w:r>
    </w:p>
    <w:p w14:paraId="4A983F77" w14:textId="77777777" w:rsidR="00B95D35" w:rsidRDefault="00B95D35" w:rsidP="00B95D35">
      <w:pPr>
        <w:spacing w:after="0" w:line="240" w:lineRule="auto"/>
        <w:rPr>
          <w:rFonts w:ascii="Calibri" w:eastAsia="Calibri" w:hAnsi="Calibri" w:cs="Calibri"/>
          <w:lang w:eastAsia="nl-NL"/>
        </w:rPr>
      </w:pPr>
    </w:p>
    <w:p w14:paraId="1F84D696" w14:textId="51D46CA3" w:rsidR="006C2424" w:rsidRDefault="00B95D35" w:rsidP="007B5DCE">
      <w:pPr>
        <w:rPr>
          <w:rFonts w:ascii="Calibri" w:eastAsia="Calibri" w:hAnsi="Calibri" w:cs="Calibri"/>
          <w:lang w:eastAsia="nl-NL"/>
        </w:rPr>
      </w:pPr>
      <w:r w:rsidRPr="002C5BFC">
        <w:rPr>
          <w:rFonts w:ascii="Calibri" w:eastAsia="Calibri" w:hAnsi="Calibri" w:cs="Calibri"/>
          <w:lang w:eastAsia="nl-NL"/>
        </w:rPr>
        <w:t xml:space="preserve">“Om te voorkomen dat concurrentiegevoelige informatie publiekelijk beschikbaar wordt, stemt het ministerie van IenW ermee in dat de decentrale overheid de SiSa concessiegegevens voor de </w:t>
      </w:r>
      <w:r w:rsidRPr="00C51E63">
        <w:rPr>
          <w:rFonts w:ascii="Calibri" w:eastAsia="Calibri" w:hAnsi="Calibri" w:cs="Calibri"/>
          <w:lang w:eastAsia="nl-NL"/>
        </w:rPr>
        <w:t>Regeling specifieke uitkering transitievergoeding regionale OV-concessies 2023</w:t>
      </w:r>
      <w:r w:rsidRPr="002C5BFC">
        <w:rPr>
          <w:rFonts w:ascii="Calibri" w:eastAsia="Calibri" w:hAnsi="Calibri" w:cs="Calibri"/>
          <w:lang w:eastAsia="nl-NL"/>
        </w:rPr>
        <w:t xml:space="preserve">, niet of niet per </w:t>
      </w:r>
      <w:r w:rsidRPr="002C5BFC">
        <w:rPr>
          <w:rFonts w:ascii="Calibri" w:eastAsia="Calibri" w:hAnsi="Calibri" w:cs="Calibri"/>
          <w:lang w:eastAsia="nl-NL"/>
        </w:rPr>
        <w:lastRenderedPageBreak/>
        <w:t xml:space="preserve">concessie vermeldt in haar jaarverslag. Echter de jaarrekeningcontrole van de decentrale overheid, die tevens de SiSa-bijlage omvat, betreft ook deze niet (volledig) vermelde indicatoren. De decentrale overheid verstrekt deze gegevens echter wel per concessie via het CBS in het excelbestand Sisa-bijlage verantwoordingsinformatie </w:t>
      </w:r>
      <w:r>
        <w:rPr>
          <w:rFonts w:ascii="Calibri" w:eastAsia="Calibri" w:hAnsi="Calibri" w:cs="Calibri"/>
          <w:lang w:eastAsia="nl-NL"/>
        </w:rPr>
        <w:t>2024</w:t>
      </w:r>
      <w:r w:rsidRPr="002C5BFC">
        <w:rPr>
          <w:rFonts w:ascii="Calibri" w:eastAsia="Calibri" w:hAnsi="Calibri" w:cs="Calibri"/>
          <w:lang w:eastAsia="nl-NL"/>
        </w:rPr>
        <w:t xml:space="preserve"> aan IenW, zodat IenW de specifieke uitkering kan vaststellen”</w:t>
      </w:r>
    </w:p>
    <w:p w14:paraId="2AED5EFA" w14:textId="132D6CBA" w:rsidR="003E6D2F" w:rsidRPr="003E6D2F" w:rsidRDefault="003E6D2F" w:rsidP="003E6D2F">
      <w:pPr>
        <w:spacing w:line="252" w:lineRule="auto"/>
        <w:rPr>
          <w:rFonts w:eastAsia="Times New Roman"/>
          <w:b/>
          <w:bCs/>
        </w:rPr>
      </w:pPr>
      <w:r w:rsidRPr="003E6D2F">
        <w:rPr>
          <w:rFonts w:eastAsia="Times New Roman"/>
          <w:b/>
          <w:bCs/>
        </w:rPr>
        <w:t>Vraag</w:t>
      </w:r>
      <w:r w:rsidR="0089275F">
        <w:rPr>
          <w:rFonts w:eastAsia="Times New Roman"/>
          <w:b/>
          <w:bCs/>
        </w:rPr>
        <w:t xml:space="preserve"> </w:t>
      </w:r>
      <w:r w:rsidR="00A9222A">
        <w:rPr>
          <w:rFonts w:eastAsia="Times New Roman"/>
          <w:b/>
          <w:bCs/>
        </w:rPr>
        <w:t>10</w:t>
      </w:r>
      <w:r w:rsidR="001C0F29">
        <w:rPr>
          <w:rFonts w:eastAsia="Times New Roman"/>
          <w:b/>
          <w:bCs/>
        </w:rPr>
        <w:t>.</w:t>
      </w:r>
      <w:r w:rsidR="00A9222A">
        <w:rPr>
          <w:rFonts w:eastAsia="Times New Roman"/>
          <w:b/>
          <w:bCs/>
        </w:rPr>
        <w:t xml:space="preserve"> </w:t>
      </w:r>
      <w:r w:rsidR="00726D19">
        <w:rPr>
          <w:rFonts w:eastAsia="Times New Roman"/>
          <w:b/>
          <w:bCs/>
        </w:rPr>
        <w:t>m.b.t. invullen verantwoordingsformulier BVOV 2021 en 2022</w:t>
      </w:r>
    </w:p>
    <w:p w14:paraId="6BA19D2C" w14:textId="686EA66C" w:rsidR="003E6D2F" w:rsidRPr="003E6D2F" w:rsidRDefault="003E6D2F" w:rsidP="003E6D2F">
      <w:pPr>
        <w:spacing w:line="252" w:lineRule="auto"/>
        <w:rPr>
          <w:rFonts w:eastAsia="Times New Roman"/>
        </w:rPr>
      </w:pPr>
      <w:r w:rsidRPr="003E6D2F">
        <w:rPr>
          <w:rFonts w:eastAsia="Times New Roman"/>
        </w:rPr>
        <w:t>Er is onduidelijkheid bij</w:t>
      </w:r>
      <w:r w:rsidR="00C32A45">
        <w:rPr>
          <w:rFonts w:eastAsia="Times New Roman"/>
        </w:rPr>
        <w:t xml:space="preserve"> het</w:t>
      </w:r>
      <w:r w:rsidRPr="003E6D2F">
        <w:rPr>
          <w:rFonts w:eastAsia="Times New Roman"/>
        </w:rPr>
        <w:t xml:space="preserve"> </w:t>
      </w:r>
      <w:r w:rsidRPr="003E6D2F">
        <w:rPr>
          <w:rFonts w:eastAsia="Times New Roman"/>
          <w:u w:val="single"/>
        </w:rPr>
        <w:t>invullen</w:t>
      </w:r>
      <w:r w:rsidR="00C32A45">
        <w:rPr>
          <w:rFonts w:eastAsia="Times New Roman"/>
          <w:u w:val="single"/>
        </w:rPr>
        <w:t xml:space="preserve"> van het </w:t>
      </w:r>
      <w:r w:rsidRPr="003E6D2F">
        <w:rPr>
          <w:rFonts w:eastAsia="Times New Roman"/>
          <w:u w:val="single"/>
        </w:rPr>
        <w:t xml:space="preserve"> verantwoording</w:t>
      </w:r>
      <w:r w:rsidR="00C32A45">
        <w:rPr>
          <w:rFonts w:eastAsia="Times New Roman"/>
          <w:u w:val="single"/>
        </w:rPr>
        <w:t>sformulier</w:t>
      </w:r>
      <w:r w:rsidRPr="003E6D2F">
        <w:rPr>
          <w:rFonts w:eastAsia="Times New Roman"/>
          <w:u w:val="single"/>
        </w:rPr>
        <w:t xml:space="preserve"> BVOV 2021</w:t>
      </w:r>
      <w:r w:rsidR="00576411">
        <w:rPr>
          <w:rFonts w:eastAsia="Times New Roman"/>
          <w:u w:val="single"/>
        </w:rPr>
        <w:t xml:space="preserve"> (en 2022, waarin dezelfde indeling is gehanteerd)</w:t>
      </w:r>
      <w:r w:rsidRPr="003E6D2F">
        <w:rPr>
          <w:rFonts w:eastAsia="Times New Roman"/>
        </w:rPr>
        <w:t>: Waar dienen de werkelijke kosten, de referentiekosten en de specifieke covid-19 kosten te worden ingevuld?</w:t>
      </w:r>
    </w:p>
    <w:p w14:paraId="32179D71" w14:textId="56D1B1BE" w:rsidR="003E6D2F" w:rsidRPr="00D762DC" w:rsidRDefault="00D762DC" w:rsidP="003E6D2F">
      <w:pPr>
        <w:spacing w:line="252" w:lineRule="auto"/>
        <w:rPr>
          <w:rFonts w:eastAsia="Times New Roman"/>
          <w:b/>
          <w:bCs/>
        </w:rPr>
      </w:pPr>
      <w:r w:rsidRPr="00D762DC">
        <w:rPr>
          <w:rFonts w:eastAsia="Times New Roman"/>
          <w:b/>
          <w:bCs/>
        </w:rPr>
        <w:t xml:space="preserve">Antwoord: </w:t>
      </w:r>
    </w:p>
    <w:p w14:paraId="5B31A8FC" w14:textId="77777777" w:rsidR="00D762DC" w:rsidRDefault="003E6D2F" w:rsidP="00D762DC">
      <w:pPr>
        <w:spacing w:line="252" w:lineRule="auto"/>
        <w:rPr>
          <w:rFonts w:eastAsia="Times New Roman"/>
        </w:rPr>
      </w:pPr>
      <w:r w:rsidRPr="00D762DC">
        <w:rPr>
          <w:rFonts w:eastAsia="Times New Roman"/>
        </w:rPr>
        <w:t xml:space="preserve">In het </w:t>
      </w:r>
      <w:r w:rsidRPr="00D762DC">
        <w:rPr>
          <w:rFonts w:eastAsia="Times New Roman"/>
          <w:u w:val="single"/>
        </w:rPr>
        <w:t>Word-document “Template verantwoordingsformulier BVOV 2021”</w:t>
      </w:r>
      <w:r w:rsidRPr="00D762DC">
        <w:rPr>
          <w:rFonts w:eastAsia="Times New Roman"/>
        </w:rPr>
        <w:t xml:space="preserve"> dienen </w:t>
      </w:r>
    </w:p>
    <w:p w14:paraId="260AF927" w14:textId="4B8B04A0" w:rsidR="00D762DC" w:rsidRPr="00D762DC" w:rsidRDefault="003E6D2F" w:rsidP="00D762DC">
      <w:pPr>
        <w:pStyle w:val="Lijstalinea"/>
        <w:numPr>
          <w:ilvl w:val="0"/>
          <w:numId w:val="11"/>
        </w:numPr>
        <w:spacing w:line="252" w:lineRule="auto"/>
        <w:rPr>
          <w:rFonts w:eastAsia="Times New Roman"/>
        </w:rPr>
      </w:pPr>
      <w:r w:rsidRPr="00D762DC">
        <w:rPr>
          <w:rFonts w:eastAsia="Times New Roman"/>
        </w:rPr>
        <w:t>op pagina 1, bij “</w:t>
      </w:r>
      <w:r w:rsidRPr="00D762DC">
        <w:rPr>
          <w:rFonts w:eastAsia="Times New Roman"/>
          <w:i/>
          <w:iCs/>
        </w:rPr>
        <w:t xml:space="preserve">K1 </w:t>
      </w:r>
      <w:r w:rsidRPr="00D762DC">
        <w:rPr>
          <w:rFonts w:ascii="Lucida Sans Unicode" w:hAnsi="Lucida Sans Unicode" w:cs="Lucida Sans Unicode"/>
          <w:i/>
          <w:iCs/>
          <w:sz w:val="20"/>
          <w:szCs w:val="20"/>
        </w:rPr>
        <w:t>Kosten in verband met de uitvoering van het openbaar vervoer in pe</w:t>
      </w:r>
      <w:r w:rsidRPr="00D762DC">
        <w:rPr>
          <w:rFonts w:ascii="Lucida Sans Unicode" w:hAnsi="Lucida Sans Unicode" w:cs="Lucida Sans Unicode"/>
          <w:i/>
          <w:sz w:val="20"/>
          <w:szCs w:val="20"/>
        </w:rPr>
        <w:t xml:space="preserve">riode 1-1-2021 tot en met 31-12-2021 (realisatie kalenderjaar 2021)”, de </w:t>
      </w:r>
      <w:r w:rsidRPr="00D762DC">
        <w:rPr>
          <w:rFonts w:ascii="Lucida Sans Unicode" w:hAnsi="Lucida Sans Unicode" w:cs="Lucida Sans Unicode"/>
          <w:iCs/>
          <w:sz w:val="20"/>
          <w:szCs w:val="20"/>
        </w:rPr>
        <w:t xml:space="preserve">kosten te worden opgenomen, </w:t>
      </w:r>
      <w:r w:rsidRPr="00D762DC">
        <w:rPr>
          <w:rFonts w:ascii="Lucida Sans Unicode" w:hAnsi="Lucida Sans Unicode" w:cs="Lucida Sans Unicode"/>
          <w:iCs/>
          <w:sz w:val="20"/>
          <w:szCs w:val="20"/>
          <w:u w:val="single"/>
        </w:rPr>
        <w:t>exclusief de kosten die in het verantwoordingsformulier bij K2</w:t>
      </w:r>
      <w:r>
        <w:rPr>
          <w:rStyle w:val="Voetnootmarkering"/>
          <w:rFonts w:ascii="Lucida Sans Unicode" w:hAnsi="Lucida Sans Unicode" w:cs="Lucida Sans Unicode"/>
          <w:iCs/>
          <w:u w:val="single"/>
        </w:rPr>
        <w:footnoteReference w:id="3"/>
      </w:r>
      <w:r w:rsidRPr="00D762DC">
        <w:rPr>
          <w:rFonts w:ascii="Lucida Sans Unicode" w:hAnsi="Lucida Sans Unicode" w:cs="Lucida Sans Unicode"/>
          <w:iCs/>
          <w:sz w:val="20"/>
          <w:szCs w:val="20"/>
          <w:u w:val="single"/>
        </w:rPr>
        <w:t xml:space="preserve">(de specifieke covid-kosten) </w:t>
      </w:r>
      <w:r w:rsidRPr="00D762DC">
        <w:rPr>
          <w:rFonts w:ascii="Lucida Sans Unicode" w:hAnsi="Lucida Sans Unicode" w:cs="Lucida Sans Unicode"/>
          <w:iCs/>
          <w:sz w:val="20"/>
          <w:szCs w:val="20"/>
        </w:rPr>
        <w:t xml:space="preserve"> worden vermeld</w:t>
      </w:r>
      <w:r w:rsidR="00442F59">
        <w:rPr>
          <w:rFonts w:ascii="Lucida Sans Unicode" w:hAnsi="Lucida Sans Unicode" w:cs="Lucida Sans Unicode"/>
          <w:iCs/>
          <w:sz w:val="20"/>
          <w:szCs w:val="20"/>
        </w:rPr>
        <w:t xml:space="preserve"> (zie bijlage xx </w:t>
      </w:r>
      <w:r w:rsidR="00393C23">
        <w:rPr>
          <w:rFonts w:ascii="Lucida Sans Unicode" w:hAnsi="Lucida Sans Unicode" w:cs="Lucida Sans Unicode"/>
          <w:iCs/>
          <w:sz w:val="20"/>
          <w:szCs w:val="20"/>
        </w:rPr>
        <w:t>)</w:t>
      </w:r>
      <w:r w:rsidRPr="00D762DC">
        <w:rPr>
          <w:rFonts w:ascii="Lucida Sans Unicode" w:hAnsi="Lucida Sans Unicode" w:cs="Lucida Sans Unicode"/>
          <w:iCs/>
          <w:sz w:val="20"/>
          <w:szCs w:val="20"/>
        </w:rPr>
        <w:t>.</w:t>
      </w:r>
    </w:p>
    <w:p w14:paraId="2A7FA14B" w14:textId="35DACD83" w:rsidR="003E6D2F" w:rsidRPr="00D762DC" w:rsidRDefault="003E6D2F" w:rsidP="00D762DC">
      <w:pPr>
        <w:pStyle w:val="Lijstalinea"/>
        <w:numPr>
          <w:ilvl w:val="0"/>
          <w:numId w:val="11"/>
        </w:numPr>
        <w:spacing w:line="252" w:lineRule="auto"/>
        <w:rPr>
          <w:rFonts w:eastAsia="Times New Roman"/>
        </w:rPr>
      </w:pPr>
      <w:r w:rsidRPr="00D762DC">
        <w:rPr>
          <w:rFonts w:eastAsia="Times New Roman"/>
        </w:rPr>
        <w:t>in de bijlage Tabel 1 specificatie per concessie, dienen bij K1 in de 4</w:t>
      </w:r>
      <w:r w:rsidRPr="00D762DC">
        <w:rPr>
          <w:rFonts w:eastAsia="Times New Roman"/>
          <w:vertAlign w:val="superscript"/>
        </w:rPr>
        <w:t>e</w:t>
      </w:r>
      <w:r w:rsidRPr="00D762DC">
        <w:rPr>
          <w:rFonts w:eastAsia="Times New Roman"/>
        </w:rPr>
        <w:t xml:space="preserve"> kolom “Realisatie kalenderjaar 2021 01/01-31/12/21” eveneens </w:t>
      </w:r>
      <w:r w:rsidRPr="00D762DC">
        <w:rPr>
          <w:rFonts w:ascii="Lucida Sans Unicode" w:hAnsi="Lucida Sans Unicode" w:cs="Lucida Sans Unicode"/>
          <w:iCs/>
          <w:sz w:val="20"/>
          <w:szCs w:val="20"/>
        </w:rPr>
        <w:t xml:space="preserve">de kosten te worden opgenomen </w:t>
      </w:r>
      <w:r w:rsidRPr="00D762DC">
        <w:rPr>
          <w:rFonts w:ascii="Lucida Sans Unicode" w:hAnsi="Lucida Sans Unicode" w:cs="Lucida Sans Unicode"/>
          <w:iCs/>
          <w:sz w:val="20"/>
          <w:szCs w:val="20"/>
          <w:u w:val="single"/>
        </w:rPr>
        <w:t xml:space="preserve">exclusief de specifieke covid-kosten die in in de volgende regel bij K2 worden vermeld. </w:t>
      </w:r>
    </w:p>
    <w:p w14:paraId="7D5B76A3" w14:textId="0A542EF8" w:rsidR="003E6D2F" w:rsidRPr="00C32A45" w:rsidRDefault="003E6D2F" w:rsidP="00C32A45">
      <w:pPr>
        <w:spacing w:line="252" w:lineRule="auto"/>
        <w:rPr>
          <w:rFonts w:eastAsia="Times New Roman"/>
        </w:rPr>
      </w:pPr>
      <w:r w:rsidRPr="00C32A45">
        <w:rPr>
          <w:rFonts w:ascii="Lucida Sans Unicode" w:hAnsi="Lucida Sans Unicode" w:cs="Lucida Sans Unicode"/>
          <w:iCs/>
          <w:sz w:val="20"/>
          <w:szCs w:val="20"/>
        </w:rPr>
        <w:t xml:space="preserve">In het </w:t>
      </w:r>
      <w:r w:rsidRPr="00C32A45">
        <w:rPr>
          <w:rFonts w:ascii="Lucida Sans Unicode" w:hAnsi="Lucida Sans Unicode" w:cs="Lucida Sans Unicode"/>
          <w:iCs/>
          <w:sz w:val="20"/>
          <w:szCs w:val="20"/>
          <w:u w:val="single"/>
        </w:rPr>
        <w:t>spreadsheet “excel_template_verantwoording_bvov_2021”</w:t>
      </w:r>
      <w:r w:rsidRPr="00C32A45">
        <w:rPr>
          <w:rFonts w:ascii="Lucida Sans Unicode" w:hAnsi="Lucida Sans Unicode" w:cs="Lucida Sans Unicode"/>
          <w:iCs/>
          <w:sz w:val="20"/>
          <w:szCs w:val="20"/>
        </w:rPr>
        <w:t xml:space="preserve"> dient in regel 74 bij “ Totaal realisatie kosten 2021 (incl. afschrijvingen / financieringskosten)” </w:t>
      </w:r>
      <w:r w:rsidRPr="00C32A45">
        <w:rPr>
          <w:rFonts w:ascii="Lucida Sans Unicode" w:hAnsi="Lucida Sans Unicode" w:cs="Lucida Sans Unicode"/>
          <w:iCs/>
          <w:sz w:val="20"/>
          <w:szCs w:val="20"/>
          <w:u w:val="single"/>
        </w:rPr>
        <w:t>het totaal van K1 en K2 te worden opgenomen: dat is dus INCLUSIEF de specifieke covid-kosten</w:t>
      </w:r>
      <w:r w:rsidR="00393C23">
        <w:rPr>
          <w:rFonts w:ascii="Lucida Sans Unicode" w:hAnsi="Lucida Sans Unicode" w:cs="Lucida Sans Unicode"/>
          <w:iCs/>
          <w:sz w:val="20"/>
          <w:szCs w:val="20"/>
        </w:rPr>
        <w:t xml:space="preserve"> </w:t>
      </w:r>
      <w:r w:rsidR="00393C23" w:rsidRPr="00393C23">
        <w:rPr>
          <w:rFonts w:ascii="Lucida Sans Unicode" w:hAnsi="Lucida Sans Unicode" w:cs="Lucida Sans Unicode"/>
          <w:iCs/>
          <w:sz w:val="20"/>
          <w:szCs w:val="20"/>
        </w:rPr>
        <w:t>(zie bijlage xx ).</w:t>
      </w:r>
      <w:r w:rsidRPr="00C32A45">
        <w:rPr>
          <w:rFonts w:ascii="Lucida Sans Unicode" w:hAnsi="Lucida Sans Unicode" w:cs="Lucida Sans Unicode"/>
          <w:iCs/>
          <w:sz w:val="20"/>
          <w:szCs w:val="20"/>
        </w:rPr>
        <w:t xml:space="preserve"> </w:t>
      </w:r>
    </w:p>
    <w:p w14:paraId="23B68FEB" w14:textId="77777777" w:rsidR="003E6D2F" w:rsidRPr="00226A6B" w:rsidRDefault="003E6D2F" w:rsidP="007B5DCE"/>
    <w:sectPr w:rsidR="003E6D2F" w:rsidRPr="00226A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6954D" w14:textId="77777777" w:rsidR="009C6067" w:rsidRDefault="009C6067" w:rsidP="006C3981">
      <w:pPr>
        <w:spacing w:after="0" w:line="240" w:lineRule="auto"/>
      </w:pPr>
      <w:r>
        <w:separator/>
      </w:r>
    </w:p>
  </w:endnote>
  <w:endnote w:type="continuationSeparator" w:id="0">
    <w:p w14:paraId="5C202D3D" w14:textId="77777777" w:rsidR="009C6067" w:rsidRDefault="009C6067" w:rsidP="006C3981">
      <w:pPr>
        <w:spacing w:after="0" w:line="240" w:lineRule="auto"/>
      </w:pPr>
      <w:r>
        <w:continuationSeparator/>
      </w:r>
    </w:p>
  </w:endnote>
  <w:endnote w:type="continuationNotice" w:id="1">
    <w:p w14:paraId="6402F594" w14:textId="77777777" w:rsidR="009C6067" w:rsidRDefault="009C60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19FA7" w14:textId="77777777" w:rsidR="009C6067" w:rsidRDefault="009C6067" w:rsidP="006C3981">
      <w:pPr>
        <w:spacing w:after="0" w:line="240" w:lineRule="auto"/>
      </w:pPr>
      <w:r>
        <w:separator/>
      </w:r>
    </w:p>
  </w:footnote>
  <w:footnote w:type="continuationSeparator" w:id="0">
    <w:p w14:paraId="1B25EB6B" w14:textId="77777777" w:rsidR="009C6067" w:rsidRDefault="009C6067" w:rsidP="006C3981">
      <w:pPr>
        <w:spacing w:after="0" w:line="240" w:lineRule="auto"/>
      </w:pPr>
      <w:r>
        <w:continuationSeparator/>
      </w:r>
    </w:p>
  </w:footnote>
  <w:footnote w:type="continuationNotice" w:id="1">
    <w:p w14:paraId="5EFB9CE1" w14:textId="77777777" w:rsidR="009C6067" w:rsidRDefault="009C6067">
      <w:pPr>
        <w:spacing w:after="0" w:line="240" w:lineRule="auto"/>
      </w:pPr>
    </w:p>
  </w:footnote>
  <w:footnote w:id="2">
    <w:p w14:paraId="1AC016D1" w14:textId="3EEE732E" w:rsidR="000E1D19" w:rsidRDefault="000E1D19">
      <w:pPr>
        <w:pStyle w:val="Voetnoottekst"/>
      </w:pPr>
      <w:r>
        <w:rPr>
          <w:rStyle w:val="Voetnootmarkering"/>
        </w:rPr>
        <w:footnoteRef/>
      </w:r>
      <w:r>
        <w:t xml:space="preserve"> </w:t>
      </w:r>
      <w:hyperlink r:id="rId1" w:history="1">
        <w:r w:rsidR="001508E4">
          <w:rPr>
            <w:rStyle w:val="Hyperlink"/>
          </w:rPr>
          <w:t>Marktmechanisme en HBE's | Algemeen Energie voor Vervoer 2022-2030 | Nederlandse Emissieautoriteit</w:t>
        </w:r>
      </w:hyperlink>
    </w:p>
  </w:footnote>
  <w:footnote w:id="3">
    <w:p w14:paraId="38E3347D" w14:textId="77777777" w:rsidR="003E6D2F" w:rsidRDefault="003E6D2F" w:rsidP="003E6D2F">
      <w:pPr>
        <w:pStyle w:val="Voetnoottekst"/>
      </w:pPr>
      <w:r>
        <w:rPr>
          <w:rStyle w:val="Voetnootmarkering"/>
        </w:rPr>
        <w:footnoteRef/>
      </w:r>
      <w:r>
        <w:t xml:space="preserve"> </w:t>
      </w:r>
      <w:r>
        <w:rPr>
          <w:rFonts w:ascii="Lucida Sans Unicode" w:hAnsi="Lucida Sans Unicode" w:cs="Lucida Sans Unicode"/>
          <w:iCs/>
        </w:rPr>
        <w:t>K</w:t>
      </w:r>
      <w:r>
        <w:rPr>
          <w:rFonts w:ascii="Lucida Sans Unicode" w:hAnsi="Lucida Sans Unicode" w:cs="Lucida Sans Unicode"/>
          <w:b/>
          <w:iCs/>
        </w:rPr>
        <w:t>2</w:t>
      </w:r>
      <w:r>
        <w:rPr>
          <w:rFonts w:ascii="Lucida Sans Unicode" w:hAnsi="Lucida Sans Unicode" w:cs="Lucida Sans Unicode"/>
          <w:i/>
        </w:rPr>
        <w:t xml:space="preserve">. Kosten </w:t>
      </w:r>
      <w:r>
        <w:rPr>
          <w:bCs/>
        </w:rPr>
        <w:t>(01/01 – 31/12/2021)</w:t>
      </w:r>
      <w:r>
        <w:rPr>
          <w:bCs/>
          <w:sz w:val="16"/>
          <w:szCs w:val="16"/>
        </w:rPr>
        <w:t xml:space="preserve"> </w:t>
      </w:r>
      <w:r>
        <w:rPr>
          <w:rFonts w:ascii="Lucida Sans Unicode" w:hAnsi="Lucida Sans Unicode" w:cs="Lucida Sans Unicode"/>
          <w:i/>
        </w:rPr>
        <w:t>van de tussen de concessieverlener en concessiehouder overeengekomen maatregelen ter voorkoming van verdere verspreiding van het virus dat COVID-19 veroorzaakt, zoals in bijlage 2 van de regeling opgenomen.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4A6A"/>
    <w:multiLevelType w:val="hybridMultilevel"/>
    <w:tmpl w:val="1270D22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395699"/>
    <w:multiLevelType w:val="hybridMultilevel"/>
    <w:tmpl w:val="F1AAB5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834A55"/>
    <w:multiLevelType w:val="singleLevel"/>
    <w:tmpl w:val="04130001"/>
    <w:lvl w:ilvl="0">
      <w:start w:val="1"/>
      <w:numFmt w:val="bullet"/>
      <w:lvlText w:val=""/>
      <w:lvlJc w:val="left"/>
      <w:pPr>
        <w:ind w:left="720" w:hanging="360"/>
      </w:pPr>
      <w:rPr>
        <w:rFonts w:ascii="Symbol" w:hAnsi="Symbol" w:hint="default"/>
      </w:rPr>
    </w:lvl>
  </w:abstractNum>
  <w:abstractNum w:abstractNumId="3" w15:restartNumberingAfterBreak="0">
    <w:nsid w:val="2BE6513C"/>
    <w:multiLevelType w:val="singleLevel"/>
    <w:tmpl w:val="04130001"/>
    <w:lvl w:ilvl="0">
      <w:start w:val="1"/>
      <w:numFmt w:val="bullet"/>
      <w:lvlText w:val=""/>
      <w:lvlJc w:val="left"/>
      <w:pPr>
        <w:ind w:left="720" w:hanging="360"/>
      </w:pPr>
      <w:rPr>
        <w:rFonts w:ascii="Symbol" w:hAnsi="Symbol" w:hint="default"/>
      </w:rPr>
    </w:lvl>
  </w:abstractNum>
  <w:abstractNum w:abstractNumId="4" w15:restartNumberingAfterBreak="0">
    <w:nsid w:val="2D916252"/>
    <w:multiLevelType w:val="hybridMultilevel"/>
    <w:tmpl w:val="4C42E7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4F052C"/>
    <w:multiLevelType w:val="hybridMultilevel"/>
    <w:tmpl w:val="F59AE13C"/>
    <w:lvl w:ilvl="0" w:tplc="80A4B1DC">
      <w:start w:val="1"/>
      <w:numFmt w:val="bullet"/>
      <w:lvlText w:val="•"/>
      <w:lvlJc w:val="left"/>
      <w:pPr>
        <w:ind w:left="1070" w:hanging="71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E969F5"/>
    <w:multiLevelType w:val="singleLevel"/>
    <w:tmpl w:val="04130001"/>
    <w:lvl w:ilvl="0">
      <w:start w:val="1"/>
      <w:numFmt w:val="bullet"/>
      <w:lvlText w:val=""/>
      <w:lvlJc w:val="left"/>
      <w:pPr>
        <w:ind w:left="720" w:hanging="360"/>
      </w:pPr>
      <w:rPr>
        <w:rFonts w:ascii="Symbol" w:hAnsi="Symbol" w:hint="default"/>
      </w:rPr>
    </w:lvl>
  </w:abstractNum>
  <w:abstractNum w:abstractNumId="7" w15:restartNumberingAfterBreak="0">
    <w:nsid w:val="55351333"/>
    <w:multiLevelType w:val="hybridMultilevel"/>
    <w:tmpl w:val="795C40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59A732FD"/>
    <w:multiLevelType w:val="hybridMultilevel"/>
    <w:tmpl w:val="24A8CB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D034EA9"/>
    <w:multiLevelType w:val="hybridMultilevel"/>
    <w:tmpl w:val="13F0380A"/>
    <w:lvl w:ilvl="0" w:tplc="A0D472BC">
      <w:start w:val="1"/>
      <w:numFmt w:val="bullet"/>
      <w:lvlText w:val="-"/>
      <w:lvlJc w:val="left"/>
      <w:pPr>
        <w:ind w:left="1070" w:hanging="71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22D082F"/>
    <w:multiLevelType w:val="hybridMultilevel"/>
    <w:tmpl w:val="DE86491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16cid:durableId="1021588237">
    <w:abstractNumId w:val="4"/>
  </w:num>
  <w:num w:numId="2" w16cid:durableId="1243031961">
    <w:abstractNumId w:val="0"/>
  </w:num>
  <w:num w:numId="3" w16cid:durableId="1949658703">
    <w:abstractNumId w:val="8"/>
  </w:num>
  <w:num w:numId="4" w16cid:durableId="111020576">
    <w:abstractNumId w:val="2"/>
  </w:num>
  <w:num w:numId="5" w16cid:durableId="514879290">
    <w:abstractNumId w:val="9"/>
  </w:num>
  <w:num w:numId="6" w16cid:durableId="1746340638">
    <w:abstractNumId w:val="3"/>
  </w:num>
  <w:num w:numId="7" w16cid:durableId="781847757">
    <w:abstractNumId w:val="6"/>
  </w:num>
  <w:num w:numId="8" w16cid:durableId="31808729">
    <w:abstractNumId w:val="5"/>
  </w:num>
  <w:num w:numId="9" w16cid:durableId="5232498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118167">
    <w:abstractNumId w:val="7"/>
  </w:num>
  <w:num w:numId="11" w16cid:durableId="2092195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81"/>
    <w:rsid w:val="00000CE7"/>
    <w:rsid w:val="00022550"/>
    <w:rsid w:val="00044737"/>
    <w:rsid w:val="000504C5"/>
    <w:rsid w:val="00060987"/>
    <w:rsid w:val="000673CF"/>
    <w:rsid w:val="000677A4"/>
    <w:rsid w:val="000721AA"/>
    <w:rsid w:val="0008315C"/>
    <w:rsid w:val="0009196D"/>
    <w:rsid w:val="00093907"/>
    <w:rsid w:val="00094E41"/>
    <w:rsid w:val="000960DF"/>
    <w:rsid w:val="000A0B94"/>
    <w:rsid w:val="000A6C2C"/>
    <w:rsid w:val="000B3622"/>
    <w:rsid w:val="000B78AE"/>
    <w:rsid w:val="000C4E71"/>
    <w:rsid w:val="000E1D19"/>
    <w:rsid w:val="000F79BF"/>
    <w:rsid w:val="00102E06"/>
    <w:rsid w:val="001040FB"/>
    <w:rsid w:val="001046D4"/>
    <w:rsid w:val="00117C04"/>
    <w:rsid w:val="001225A5"/>
    <w:rsid w:val="00134E52"/>
    <w:rsid w:val="00135178"/>
    <w:rsid w:val="00135844"/>
    <w:rsid w:val="001360C4"/>
    <w:rsid w:val="00143185"/>
    <w:rsid w:val="001468FC"/>
    <w:rsid w:val="00146ED1"/>
    <w:rsid w:val="001508E4"/>
    <w:rsid w:val="00150DF4"/>
    <w:rsid w:val="00152C17"/>
    <w:rsid w:val="001979B5"/>
    <w:rsid w:val="001A2FF1"/>
    <w:rsid w:val="001A782B"/>
    <w:rsid w:val="001C0F29"/>
    <w:rsid w:val="001C2F16"/>
    <w:rsid w:val="001D5878"/>
    <w:rsid w:val="001D5BC4"/>
    <w:rsid w:val="001E206C"/>
    <w:rsid w:val="001E28CE"/>
    <w:rsid w:val="002115DE"/>
    <w:rsid w:val="00226A6B"/>
    <w:rsid w:val="00231986"/>
    <w:rsid w:val="00255DB0"/>
    <w:rsid w:val="00275853"/>
    <w:rsid w:val="00275BD7"/>
    <w:rsid w:val="002808A4"/>
    <w:rsid w:val="002841AD"/>
    <w:rsid w:val="00284CB6"/>
    <w:rsid w:val="002959C7"/>
    <w:rsid w:val="0029705E"/>
    <w:rsid w:val="002A413D"/>
    <w:rsid w:val="002B3917"/>
    <w:rsid w:val="002C1EF0"/>
    <w:rsid w:val="002D0FA2"/>
    <w:rsid w:val="002D3031"/>
    <w:rsid w:val="002F18D3"/>
    <w:rsid w:val="002F63D1"/>
    <w:rsid w:val="003057A7"/>
    <w:rsid w:val="00311A09"/>
    <w:rsid w:val="003136F5"/>
    <w:rsid w:val="00313BB7"/>
    <w:rsid w:val="0031563D"/>
    <w:rsid w:val="00323187"/>
    <w:rsid w:val="0032339C"/>
    <w:rsid w:val="00334A44"/>
    <w:rsid w:val="003450B7"/>
    <w:rsid w:val="00350948"/>
    <w:rsid w:val="00357E62"/>
    <w:rsid w:val="003721D5"/>
    <w:rsid w:val="00375E2E"/>
    <w:rsid w:val="00377976"/>
    <w:rsid w:val="00393C23"/>
    <w:rsid w:val="003A439C"/>
    <w:rsid w:val="003B634B"/>
    <w:rsid w:val="003D3C17"/>
    <w:rsid w:val="003E1E8E"/>
    <w:rsid w:val="003E6D2F"/>
    <w:rsid w:val="0040541B"/>
    <w:rsid w:val="0040634E"/>
    <w:rsid w:val="00414196"/>
    <w:rsid w:val="00437EA3"/>
    <w:rsid w:val="00442F59"/>
    <w:rsid w:val="00466D84"/>
    <w:rsid w:val="00467B32"/>
    <w:rsid w:val="00470775"/>
    <w:rsid w:val="00473BA2"/>
    <w:rsid w:val="00477FFE"/>
    <w:rsid w:val="00480B0F"/>
    <w:rsid w:val="004A4893"/>
    <w:rsid w:val="004C5406"/>
    <w:rsid w:val="004D04DB"/>
    <w:rsid w:val="004D3BB1"/>
    <w:rsid w:val="004D497B"/>
    <w:rsid w:val="004D6429"/>
    <w:rsid w:val="004E027F"/>
    <w:rsid w:val="004F0DD3"/>
    <w:rsid w:val="005026D6"/>
    <w:rsid w:val="00522D21"/>
    <w:rsid w:val="00531E3B"/>
    <w:rsid w:val="00534214"/>
    <w:rsid w:val="005356C4"/>
    <w:rsid w:val="00537546"/>
    <w:rsid w:val="00540F96"/>
    <w:rsid w:val="00542480"/>
    <w:rsid w:val="0054488C"/>
    <w:rsid w:val="005673E7"/>
    <w:rsid w:val="00576411"/>
    <w:rsid w:val="0057738D"/>
    <w:rsid w:val="005848E0"/>
    <w:rsid w:val="005B731C"/>
    <w:rsid w:val="005E5C36"/>
    <w:rsid w:val="00605C25"/>
    <w:rsid w:val="00605FDC"/>
    <w:rsid w:val="00606460"/>
    <w:rsid w:val="00607D4B"/>
    <w:rsid w:val="006179C0"/>
    <w:rsid w:val="00643C31"/>
    <w:rsid w:val="00644FFF"/>
    <w:rsid w:val="0067533F"/>
    <w:rsid w:val="00677CBE"/>
    <w:rsid w:val="006874A4"/>
    <w:rsid w:val="00695C13"/>
    <w:rsid w:val="006A60A6"/>
    <w:rsid w:val="006B2524"/>
    <w:rsid w:val="006C2424"/>
    <w:rsid w:val="006C3981"/>
    <w:rsid w:val="006D3798"/>
    <w:rsid w:val="006D42EE"/>
    <w:rsid w:val="006D4693"/>
    <w:rsid w:val="006F0286"/>
    <w:rsid w:val="006F4A4B"/>
    <w:rsid w:val="00701FFE"/>
    <w:rsid w:val="00703C30"/>
    <w:rsid w:val="00712982"/>
    <w:rsid w:val="00726D19"/>
    <w:rsid w:val="0073210D"/>
    <w:rsid w:val="0073484E"/>
    <w:rsid w:val="00753118"/>
    <w:rsid w:val="007601A1"/>
    <w:rsid w:val="00762C18"/>
    <w:rsid w:val="007821C2"/>
    <w:rsid w:val="007866F1"/>
    <w:rsid w:val="007B5DCE"/>
    <w:rsid w:val="007D105E"/>
    <w:rsid w:val="007E776C"/>
    <w:rsid w:val="00804024"/>
    <w:rsid w:val="00821033"/>
    <w:rsid w:val="008237E4"/>
    <w:rsid w:val="008351D7"/>
    <w:rsid w:val="0084156E"/>
    <w:rsid w:val="00862D1D"/>
    <w:rsid w:val="00863588"/>
    <w:rsid w:val="00864BE7"/>
    <w:rsid w:val="00871B63"/>
    <w:rsid w:val="008849D8"/>
    <w:rsid w:val="0089275F"/>
    <w:rsid w:val="00897583"/>
    <w:rsid w:val="008B11B7"/>
    <w:rsid w:val="008D7B5B"/>
    <w:rsid w:val="008F1A44"/>
    <w:rsid w:val="00915AEC"/>
    <w:rsid w:val="0093625F"/>
    <w:rsid w:val="00937866"/>
    <w:rsid w:val="0095582C"/>
    <w:rsid w:val="009714A0"/>
    <w:rsid w:val="00985999"/>
    <w:rsid w:val="009A7ECC"/>
    <w:rsid w:val="009C492C"/>
    <w:rsid w:val="009C6067"/>
    <w:rsid w:val="009C75B0"/>
    <w:rsid w:val="009D4805"/>
    <w:rsid w:val="009D5E84"/>
    <w:rsid w:val="009E7EC3"/>
    <w:rsid w:val="00A0400C"/>
    <w:rsid w:val="00A12AAA"/>
    <w:rsid w:val="00A27769"/>
    <w:rsid w:val="00A364B7"/>
    <w:rsid w:val="00A44832"/>
    <w:rsid w:val="00A56240"/>
    <w:rsid w:val="00A62622"/>
    <w:rsid w:val="00A66E8D"/>
    <w:rsid w:val="00A9222A"/>
    <w:rsid w:val="00A924B8"/>
    <w:rsid w:val="00AA3B88"/>
    <w:rsid w:val="00AA47B7"/>
    <w:rsid w:val="00AB58C8"/>
    <w:rsid w:val="00AC09F8"/>
    <w:rsid w:val="00AC193C"/>
    <w:rsid w:val="00AD73EF"/>
    <w:rsid w:val="00AE2CC1"/>
    <w:rsid w:val="00AE78E8"/>
    <w:rsid w:val="00AF0EFB"/>
    <w:rsid w:val="00AF6DE2"/>
    <w:rsid w:val="00B06C56"/>
    <w:rsid w:val="00B37A88"/>
    <w:rsid w:val="00B41069"/>
    <w:rsid w:val="00B52CC6"/>
    <w:rsid w:val="00B54050"/>
    <w:rsid w:val="00B559F9"/>
    <w:rsid w:val="00B60809"/>
    <w:rsid w:val="00B65FA7"/>
    <w:rsid w:val="00B92499"/>
    <w:rsid w:val="00B95D35"/>
    <w:rsid w:val="00BA6693"/>
    <w:rsid w:val="00BB2490"/>
    <w:rsid w:val="00BC086B"/>
    <w:rsid w:val="00BE334C"/>
    <w:rsid w:val="00BF2511"/>
    <w:rsid w:val="00BF4E34"/>
    <w:rsid w:val="00C03192"/>
    <w:rsid w:val="00C1494C"/>
    <w:rsid w:val="00C16698"/>
    <w:rsid w:val="00C32A45"/>
    <w:rsid w:val="00C45374"/>
    <w:rsid w:val="00C4593D"/>
    <w:rsid w:val="00C53B4B"/>
    <w:rsid w:val="00C5730C"/>
    <w:rsid w:val="00C60E80"/>
    <w:rsid w:val="00C72359"/>
    <w:rsid w:val="00C7551B"/>
    <w:rsid w:val="00C82570"/>
    <w:rsid w:val="00C91D57"/>
    <w:rsid w:val="00CB1499"/>
    <w:rsid w:val="00CB283F"/>
    <w:rsid w:val="00CB5C67"/>
    <w:rsid w:val="00CC5A58"/>
    <w:rsid w:val="00CD541B"/>
    <w:rsid w:val="00CE0469"/>
    <w:rsid w:val="00CE30A9"/>
    <w:rsid w:val="00CE460E"/>
    <w:rsid w:val="00CF67CD"/>
    <w:rsid w:val="00D10FC2"/>
    <w:rsid w:val="00D207F7"/>
    <w:rsid w:val="00D2697E"/>
    <w:rsid w:val="00D27FA6"/>
    <w:rsid w:val="00D34EB5"/>
    <w:rsid w:val="00D36604"/>
    <w:rsid w:val="00D42AD4"/>
    <w:rsid w:val="00D55FF7"/>
    <w:rsid w:val="00D71010"/>
    <w:rsid w:val="00D762DC"/>
    <w:rsid w:val="00D81582"/>
    <w:rsid w:val="00DA7E03"/>
    <w:rsid w:val="00DB0DCD"/>
    <w:rsid w:val="00DB5ADF"/>
    <w:rsid w:val="00DD14D4"/>
    <w:rsid w:val="00DD22D1"/>
    <w:rsid w:val="00DE5B6C"/>
    <w:rsid w:val="00E41BF7"/>
    <w:rsid w:val="00E8705C"/>
    <w:rsid w:val="00E95A70"/>
    <w:rsid w:val="00EA2DC0"/>
    <w:rsid w:val="00EA3C17"/>
    <w:rsid w:val="00EC20D9"/>
    <w:rsid w:val="00EC2DEF"/>
    <w:rsid w:val="00EC35FF"/>
    <w:rsid w:val="00EC5BC4"/>
    <w:rsid w:val="00EE1BC9"/>
    <w:rsid w:val="00EE4079"/>
    <w:rsid w:val="00EE7FAE"/>
    <w:rsid w:val="00EF4F6A"/>
    <w:rsid w:val="00F15356"/>
    <w:rsid w:val="00F17B9D"/>
    <w:rsid w:val="00F23CCA"/>
    <w:rsid w:val="00F27B89"/>
    <w:rsid w:val="00F34CC7"/>
    <w:rsid w:val="00F35676"/>
    <w:rsid w:val="00F37538"/>
    <w:rsid w:val="00F4347F"/>
    <w:rsid w:val="00F4545E"/>
    <w:rsid w:val="00F645AD"/>
    <w:rsid w:val="00F65DD5"/>
    <w:rsid w:val="00F71589"/>
    <w:rsid w:val="00F73309"/>
    <w:rsid w:val="00F75326"/>
    <w:rsid w:val="00F91C92"/>
    <w:rsid w:val="00FA7E3F"/>
    <w:rsid w:val="00FC450C"/>
    <w:rsid w:val="00FC7296"/>
    <w:rsid w:val="00FD6442"/>
    <w:rsid w:val="00FE22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EBD27"/>
  <w15:chartTrackingRefBased/>
  <w15:docId w15:val="{61446E35-C9DD-47A0-B56D-ABFFF4A8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C3981"/>
    <w:rPr>
      <w:color w:val="808080"/>
    </w:rPr>
  </w:style>
  <w:style w:type="paragraph" w:styleId="Lijstalinea">
    <w:name w:val="List Paragraph"/>
    <w:basedOn w:val="Standaard"/>
    <w:uiPriority w:val="34"/>
    <w:qFormat/>
    <w:rsid w:val="00B52CC6"/>
    <w:pPr>
      <w:ind w:left="720"/>
      <w:contextualSpacing/>
    </w:pPr>
  </w:style>
  <w:style w:type="character" w:styleId="Verwijzingopmerking">
    <w:name w:val="annotation reference"/>
    <w:basedOn w:val="Standaardalinea-lettertype"/>
    <w:uiPriority w:val="99"/>
    <w:semiHidden/>
    <w:unhideWhenUsed/>
    <w:rsid w:val="00CE460E"/>
    <w:rPr>
      <w:sz w:val="16"/>
      <w:szCs w:val="16"/>
    </w:rPr>
  </w:style>
  <w:style w:type="paragraph" w:styleId="Tekstopmerking">
    <w:name w:val="annotation text"/>
    <w:basedOn w:val="Standaard"/>
    <w:link w:val="TekstopmerkingChar"/>
    <w:uiPriority w:val="99"/>
    <w:unhideWhenUsed/>
    <w:rsid w:val="00CE460E"/>
    <w:pPr>
      <w:spacing w:line="240" w:lineRule="auto"/>
    </w:pPr>
    <w:rPr>
      <w:sz w:val="20"/>
      <w:szCs w:val="20"/>
    </w:rPr>
  </w:style>
  <w:style w:type="character" w:customStyle="1" w:styleId="TekstopmerkingChar">
    <w:name w:val="Tekst opmerking Char"/>
    <w:basedOn w:val="Standaardalinea-lettertype"/>
    <w:link w:val="Tekstopmerking"/>
    <w:uiPriority w:val="99"/>
    <w:rsid w:val="00CE460E"/>
    <w:rPr>
      <w:sz w:val="20"/>
      <w:szCs w:val="20"/>
    </w:rPr>
  </w:style>
  <w:style w:type="paragraph" w:styleId="Onderwerpvanopmerking">
    <w:name w:val="annotation subject"/>
    <w:basedOn w:val="Tekstopmerking"/>
    <w:next w:val="Tekstopmerking"/>
    <w:link w:val="OnderwerpvanopmerkingChar"/>
    <w:uiPriority w:val="99"/>
    <w:semiHidden/>
    <w:unhideWhenUsed/>
    <w:rsid w:val="00CE460E"/>
    <w:rPr>
      <w:b/>
      <w:bCs/>
    </w:rPr>
  </w:style>
  <w:style w:type="character" w:customStyle="1" w:styleId="OnderwerpvanopmerkingChar">
    <w:name w:val="Onderwerp van opmerking Char"/>
    <w:basedOn w:val="TekstopmerkingChar"/>
    <w:link w:val="Onderwerpvanopmerking"/>
    <w:uiPriority w:val="99"/>
    <w:semiHidden/>
    <w:rsid w:val="00CE460E"/>
    <w:rPr>
      <w:b/>
      <w:bCs/>
      <w:sz w:val="20"/>
      <w:szCs w:val="20"/>
    </w:rPr>
  </w:style>
  <w:style w:type="paragraph" w:styleId="Voetnoottekst">
    <w:name w:val="footnote text"/>
    <w:basedOn w:val="Standaard"/>
    <w:link w:val="VoetnoottekstChar"/>
    <w:uiPriority w:val="99"/>
    <w:semiHidden/>
    <w:unhideWhenUsed/>
    <w:rsid w:val="0009196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9196D"/>
    <w:rPr>
      <w:sz w:val="20"/>
      <w:szCs w:val="20"/>
    </w:rPr>
  </w:style>
  <w:style w:type="character" w:styleId="Voetnootmarkering">
    <w:name w:val="footnote reference"/>
    <w:basedOn w:val="Standaardalinea-lettertype"/>
    <w:uiPriority w:val="99"/>
    <w:semiHidden/>
    <w:unhideWhenUsed/>
    <w:rsid w:val="0009196D"/>
    <w:rPr>
      <w:vertAlign w:val="superscript"/>
    </w:rPr>
  </w:style>
  <w:style w:type="character" w:styleId="Hyperlink">
    <w:name w:val="Hyperlink"/>
    <w:basedOn w:val="Standaardalinea-lettertype"/>
    <w:uiPriority w:val="99"/>
    <w:unhideWhenUsed/>
    <w:rsid w:val="001508E4"/>
    <w:rPr>
      <w:color w:val="0000FF"/>
      <w:u w:val="single"/>
    </w:rPr>
  </w:style>
  <w:style w:type="table" w:styleId="Tabelraster">
    <w:name w:val="Table Grid"/>
    <w:basedOn w:val="Standaardtabel"/>
    <w:uiPriority w:val="39"/>
    <w:rsid w:val="00AB5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unhideWhenUsed/>
    <w:rsid w:val="00EA2D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A2DC0"/>
  </w:style>
  <w:style w:type="paragraph" w:styleId="Voettekst">
    <w:name w:val="footer"/>
    <w:basedOn w:val="Standaard"/>
    <w:link w:val="VoettekstChar"/>
    <w:uiPriority w:val="99"/>
    <w:semiHidden/>
    <w:unhideWhenUsed/>
    <w:rsid w:val="00EA2D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EA2DC0"/>
  </w:style>
  <w:style w:type="character" w:styleId="Onopgelostemelding">
    <w:name w:val="Unresolved Mention"/>
    <w:basedOn w:val="Standaardalinea-lettertype"/>
    <w:uiPriority w:val="99"/>
    <w:semiHidden/>
    <w:unhideWhenUsed/>
    <w:rsid w:val="00540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40736">
      <w:bodyDiv w:val="1"/>
      <w:marLeft w:val="0"/>
      <w:marRight w:val="0"/>
      <w:marTop w:val="0"/>
      <w:marBottom w:val="0"/>
      <w:divBdr>
        <w:top w:val="none" w:sz="0" w:space="0" w:color="auto"/>
        <w:left w:val="none" w:sz="0" w:space="0" w:color="auto"/>
        <w:bottom w:val="none" w:sz="0" w:space="0" w:color="auto"/>
        <w:right w:val="none" w:sz="0" w:space="0" w:color="auto"/>
      </w:divBdr>
    </w:div>
    <w:div w:id="463352101">
      <w:bodyDiv w:val="1"/>
      <w:marLeft w:val="0"/>
      <w:marRight w:val="0"/>
      <w:marTop w:val="0"/>
      <w:marBottom w:val="0"/>
      <w:divBdr>
        <w:top w:val="none" w:sz="0" w:space="0" w:color="auto"/>
        <w:left w:val="none" w:sz="0" w:space="0" w:color="auto"/>
        <w:bottom w:val="none" w:sz="0" w:space="0" w:color="auto"/>
        <w:right w:val="none" w:sz="0" w:space="0" w:color="auto"/>
      </w:divBdr>
    </w:div>
    <w:div w:id="722680091">
      <w:bodyDiv w:val="1"/>
      <w:marLeft w:val="0"/>
      <w:marRight w:val="0"/>
      <w:marTop w:val="0"/>
      <w:marBottom w:val="0"/>
      <w:divBdr>
        <w:top w:val="none" w:sz="0" w:space="0" w:color="auto"/>
        <w:left w:val="none" w:sz="0" w:space="0" w:color="auto"/>
        <w:bottom w:val="none" w:sz="0" w:space="0" w:color="auto"/>
        <w:right w:val="none" w:sz="0" w:space="0" w:color="auto"/>
      </w:divBdr>
    </w:div>
    <w:div w:id="1136214052">
      <w:bodyDiv w:val="1"/>
      <w:marLeft w:val="0"/>
      <w:marRight w:val="0"/>
      <w:marTop w:val="0"/>
      <w:marBottom w:val="0"/>
      <w:divBdr>
        <w:top w:val="none" w:sz="0" w:space="0" w:color="auto"/>
        <w:left w:val="none" w:sz="0" w:space="0" w:color="auto"/>
        <w:bottom w:val="none" w:sz="0" w:space="0" w:color="auto"/>
        <w:right w:val="none" w:sz="0" w:space="0" w:color="auto"/>
      </w:divBdr>
    </w:div>
    <w:div w:id="1410888061">
      <w:bodyDiv w:val="1"/>
      <w:marLeft w:val="0"/>
      <w:marRight w:val="0"/>
      <w:marTop w:val="0"/>
      <w:marBottom w:val="0"/>
      <w:divBdr>
        <w:top w:val="none" w:sz="0" w:space="0" w:color="auto"/>
        <w:left w:val="none" w:sz="0" w:space="0" w:color="auto"/>
        <w:bottom w:val="none" w:sz="0" w:space="0" w:color="auto"/>
        <w:right w:val="none" w:sz="0" w:space="0" w:color="auto"/>
      </w:divBdr>
    </w:div>
    <w:div w:id="1464687896">
      <w:bodyDiv w:val="1"/>
      <w:marLeft w:val="0"/>
      <w:marRight w:val="0"/>
      <w:marTop w:val="0"/>
      <w:marBottom w:val="0"/>
      <w:divBdr>
        <w:top w:val="none" w:sz="0" w:space="0" w:color="auto"/>
        <w:left w:val="none" w:sz="0" w:space="0" w:color="auto"/>
        <w:bottom w:val="none" w:sz="0" w:space="0" w:color="auto"/>
        <w:right w:val="none" w:sz="0" w:space="0" w:color="auto"/>
      </w:divBdr>
    </w:div>
    <w:div w:id="1588929275">
      <w:bodyDiv w:val="1"/>
      <w:marLeft w:val="0"/>
      <w:marRight w:val="0"/>
      <w:marTop w:val="0"/>
      <w:marBottom w:val="0"/>
      <w:divBdr>
        <w:top w:val="none" w:sz="0" w:space="0" w:color="auto"/>
        <w:left w:val="none" w:sz="0" w:space="0" w:color="auto"/>
        <w:bottom w:val="none" w:sz="0" w:space="0" w:color="auto"/>
        <w:right w:val="none" w:sz="0" w:space="0" w:color="auto"/>
      </w:divBdr>
    </w:div>
    <w:div w:id="1816752593">
      <w:bodyDiv w:val="1"/>
      <w:marLeft w:val="0"/>
      <w:marRight w:val="0"/>
      <w:marTop w:val="0"/>
      <w:marBottom w:val="0"/>
      <w:divBdr>
        <w:top w:val="none" w:sz="0" w:space="0" w:color="auto"/>
        <w:left w:val="none" w:sz="0" w:space="0" w:color="auto"/>
        <w:bottom w:val="none" w:sz="0" w:space="0" w:color="auto"/>
        <w:right w:val="none" w:sz="0" w:space="0" w:color="auto"/>
      </w:divBdr>
    </w:div>
    <w:div w:id="1846943878">
      <w:bodyDiv w:val="1"/>
      <w:marLeft w:val="0"/>
      <w:marRight w:val="0"/>
      <w:marTop w:val="0"/>
      <w:marBottom w:val="0"/>
      <w:divBdr>
        <w:top w:val="none" w:sz="0" w:space="0" w:color="auto"/>
        <w:left w:val="none" w:sz="0" w:space="0" w:color="auto"/>
        <w:bottom w:val="none" w:sz="0" w:space="0" w:color="auto"/>
        <w:right w:val="none" w:sz="0" w:space="0" w:color="auto"/>
      </w:divBdr>
    </w:div>
    <w:div w:id="1861553162">
      <w:bodyDiv w:val="1"/>
      <w:marLeft w:val="0"/>
      <w:marRight w:val="0"/>
      <w:marTop w:val="0"/>
      <w:marBottom w:val="0"/>
      <w:divBdr>
        <w:top w:val="none" w:sz="0" w:space="0" w:color="auto"/>
        <w:left w:val="none" w:sz="0" w:space="0" w:color="auto"/>
        <w:bottom w:val="none" w:sz="0" w:space="0" w:color="auto"/>
        <w:right w:val="none" w:sz="0" w:space="0" w:color="auto"/>
      </w:divBdr>
    </w:div>
    <w:div w:id="2023623953">
      <w:bodyDiv w:val="1"/>
      <w:marLeft w:val="0"/>
      <w:marRight w:val="0"/>
      <w:marTop w:val="0"/>
      <w:marBottom w:val="0"/>
      <w:divBdr>
        <w:top w:val="none" w:sz="0" w:space="0" w:color="auto"/>
        <w:left w:val="none" w:sz="0" w:space="0" w:color="auto"/>
        <w:bottom w:val="none" w:sz="0" w:space="0" w:color="auto"/>
        <w:right w:val="none" w:sz="0" w:space="0" w:color="auto"/>
      </w:divBdr>
    </w:div>
    <w:div w:id="205299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willem.kuil@atosborne.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jnhout@hypercube.n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missieautoriteit.nl/onderwerpen/algemeen-hernieuwbare-energie-voor-vervoer/marktmechanism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149550871594599170ABFE3D481F3" ma:contentTypeVersion="17" ma:contentTypeDescription="Een nieuw document maken." ma:contentTypeScope="" ma:versionID="79a232ba894136869ec3cc4de5135d53">
  <xsd:schema xmlns:xsd="http://www.w3.org/2001/XMLSchema" xmlns:xs="http://www.w3.org/2001/XMLSchema" xmlns:p="http://schemas.microsoft.com/office/2006/metadata/properties" xmlns:ns2="d29ef02d-dca2-4008-a09f-102c2d73e077" xmlns:ns3="ea6e1c2d-c477-43f6-b3eb-0761957edcca" targetNamespace="http://schemas.microsoft.com/office/2006/metadata/properties" ma:root="true" ma:fieldsID="793e19010e65ee61940c54a110d0a22d" ns2:_="" ns3:_="">
    <xsd:import namespace="d29ef02d-dca2-4008-a09f-102c2d73e077"/>
    <xsd:import namespace="ea6e1c2d-c477-43f6-b3eb-0761957edc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ef02d-dca2-4008-a09f-102c2d73e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031cafa-bca9-4815-aec0-7277a07355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e1c2d-c477-43f6-b3eb-0761957edcc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c6f6a2c-bd97-4095-a416-d97c42ef1514}" ma:internalName="TaxCatchAll" ma:showField="CatchAllData" ma:web="ea6e1c2d-c477-43f6-b3eb-0761957edc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9ef02d-dca2-4008-a09f-102c2d73e077">
      <Terms xmlns="http://schemas.microsoft.com/office/infopath/2007/PartnerControls"/>
    </lcf76f155ced4ddcb4097134ff3c332f>
    <TaxCatchAll xmlns="ea6e1c2d-c477-43f6-b3eb-0761957edc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3D18C-4516-4D11-A7E9-E7DF0884343C}"/>
</file>

<file path=customXml/itemProps2.xml><?xml version="1.0" encoding="utf-8"?>
<ds:datastoreItem xmlns:ds="http://schemas.openxmlformats.org/officeDocument/2006/customXml" ds:itemID="{5EA5291C-4741-4B38-8E96-148CDBB40EF6}">
  <ds:schemaRefs>
    <ds:schemaRef ds:uri="http://schemas.microsoft.com/office/2006/metadata/properties"/>
    <ds:schemaRef ds:uri="http://schemas.microsoft.com/office/infopath/2007/PartnerControls"/>
    <ds:schemaRef ds:uri="80c0f480-7970-46f8-8250-54552af28c02"/>
    <ds:schemaRef ds:uri="f0c8ad39-e49c-465b-a14d-afada7938724"/>
  </ds:schemaRefs>
</ds:datastoreItem>
</file>

<file path=customXml/itemProps3.xml><?xml version="1.0" encoding="utf-8"?>
<ds:datastoreItem xmlns:ds="http://schemas.openxmlformats.org/officeDocument/2006/customXml" ds:itemID="{D3809933-07B8-4B3F-8090-470D69DB5A35}">
  <ds:schemaRefs>
    <ds:schemaRef ds:uri="http://schemas.microsoft.com/sharepoint/v3/contenttype/forms"/>
  </ds:schemaRefs>
</ds:datastoreItem>
</file>

<file path=customXml/itemProps4.xml><?xml version="1.0" encoding="utf-8"?>
<ds:datastoreItem xmlns:ds="http://schemas.openxmlformats.org/officeDocument/2006/customXml" ds:itemID="{1D75C65C-4924-476A-BC2C-84FFD0930A8C}">
  <ds:schemaRefs>
    <ds:schemaRef ds:uri="http://schemas.openxmlformats.org/officeDocument/2006/bibliography"/>
  </ds:schemaRefs>
</ds:datastoreItem>
</file>

<file path=docMetadata/LabelInfo.xml><?xml version="1.0" encoding="utf-8"?>
<clbl:labelList xmlns:clbl="http://schemas.microsoft.com/office/2020/mipLabelMetadata">
  <clbl:label id="{7e7b40a7-8a30-46b2-a224-03c1cdffe4e1}" enabled="1" method="Standard" siteId="{6f9c9947-3a32-45de-834e-3b44abdccf0c}" removed="0"/>
</clbl:labelList>
</file>

<file path=docProps/app.xml><?xml version="1.0" encoding="utf-8"?>
<Properties xmlns="http://schemas.openxmlformats.org/officeDocument/2006/extended-properties" xmlns:vt="http://schemas.openxmlformats.org/officeDocument/2006/docPropsVTypes">
  <Template>Normal</Template>
  <TotalTime>12136</TotalTime>
  <Pages>7</Pages>
  <Words>3017</Words>
  <Characters>16594</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AT Osborne BV</Company>
  <LinksUpToDate>false</LinksUpToDate>
  <CharactersWithSpaces>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Willem Kuil</dc:creator>
  <cp:keywords/>
  <dc:description/>
  <cp:lastModifiedBy>Jan Willem Kuil</cp:lastModifiedBy>
  <cp:revision>245</cp:revision>
  <dcterms:created xsi:type="dcterms:W3CDTF">2023-07-06T11:30:00Z</dcterms:created>
  <dcterms:modified xsi:type="dcterms:W3CDTF">2023-09-21T10:34:00Z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0x0101005F95A991788BCD43A14D11E1A5D8ED3D</vt:lpwstr>
  </property>
  <property fmtid="{D5CDD505-2E9C-101B-9397-08002B2CF9AE}" pid="3" name="MediaServiceImageTags">
    <vt:lpwstr/>
  </property>
</Properties>
</file>